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8C" w:rsidRDefault="0031438E">
      <w:pPr>
        <w:pStyle w:val="ConsPlusNormal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</w:rPr>
        <w:t>Сведения о реализации в 2021 году плана-графика мероприятий по реализации документов</w:t>
      </w:r>
      <w:r>
        <w:rPr>
          <w:rFonts w:ascii="Times New Roman" w:hAnsi="Times New Roman"/>
          <w:b/>
          <w:bCs/>
          <w:sz w:val="28"/>
        </w:rPr>
        <w:br/>
        <w:t>стратегического планирования</w:t>
      </w:r>
    </w:p>
    <w:p w:rsidR="00F6158C" w:rsidRDefault="00F6158C">
      <w:pPr>
        <w:pStyle w:val="ConsPlusNormal0"/>
        <w:jc w:val="center"/>
        <w:rPr>
          <w:sz w:val="12"/>
          <w:szCs w:val="12"/>
        </w:rPr>
      </w:pPr>
    </w:p>
    <w:tbl>
      <w:tblPr>
        <w:tblW w:w="151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1081"/>
        <w:gridCol w:w="53"/>
        <w:gridCol w:w="24"/>
        <w:gridCol w:w="1865"/>
        <w:gridCol w:w="170"/>
        <w:gridCol w:w="1170"/>
        <w:gridCol w:w="31"/>
        <w:gridCol w:w="28"/>
        <w:gridCol w:w="1214"/>
        <w:gridCol w:w="107"/>
        <w:gridCol w:w="9"/>
        <w:gridCol w:w="3769"/>
        <w:gridCol w:w="52"/>
        <w:gridCol w:w="23"/>
        <w:gridCol w:w="2254"/>
      </w:tblGrid>
      <w:tr w:rsidR="00F6158C" w:rsidTr="000D1838">
        <w:trPr>
          <w:trHeight w:val="28"/>
          <w:tblHeader/>
        </w:trPr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6158C" w:rsidRPr="001274AF" w:rsidTr="000D1838">
        <w:tc>
          <w:tcPr>
            <w:tcW w:w="44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Pr="001274AF" w:rsidRDefault="0031438E">
            <w:pPr>
              <w:pStyle w:val="ConsPlusNormal0"/>
              <w:ind w:left="217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4A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Pr="001274AF" w:rsidRDefault="0031438E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4AF">
              <w:rPr>
                <w:rFonts w:ascii="Times New Roman" w:hAnsi="Times New Roman"/>
                <w:b/>
                <w:sz w:val="24"/>
                <w:szCs w:val="24"/>
              </w:rPr>
              <w:t>Индикаторы реализации мероприятий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Pr="001274AF" w:rsidRDefault="0031438E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4AF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мероприятия, значение индикатора</w:t>
            </w: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Pr="001274AF" w:rsidRDefault="0031438E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4AF">
              <w:rPr>
                <w:rFonts w:ascii="Times New Roman" w:hAnsi="Times New Roman"/>
                <w:b/>
                <w:sz w:val="24"/>
                <w:szCs w:val="24"/>
              </w:rPr>
              <w:t>Информация о фактическом достижении значения целевого показателя, индикатора направления (блока мероприятий), причинах недостижения, прогнозе их достижения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Pr="001274AF" w:rsidRDefault="0031438E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4AF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 w:rsidRPr="001274AF">
              <w:rPr>
                <w:rFonts w:ascii="Times New Roman" w:hAnsi="Times New Roman"/>
                <w:b/>
                <w:sz w:val="24"/>
                <w:szCs w:val="24"/>
              </w:rPr>
              <w:br/>
              <w:t>о необходимости разработки новых</w:t>
            </w:r>
            <w:r w:rsidRPr="001274AF">
              <w:rPr>
                <w:rFonts w:ascii="Times New Roman" w:hAnsi="Times New Roman"/>
                <w:b/>
                <w:sz w:val="24"/>
                <w:szCs w:val="24"/>
              </w:rPr>
              <w:br/>
              <w:t>и корректировки действующих документов стратегического планирования</w:t>
            </w:r>
            <w:r w:rsidRPr="001274AF">
              <w:rPr>
                <w:rFonts w:ascii="Times New Roman" w:hAnsi="Times New Roman"/>
                <w:b/>
                <w:sz w:val="24"/>
                <w:szCs w:val="24"/>
              </w:rPr>
              <w:br/>
              <w:t>и прочих документов, включающих мероприятия (индикаторы)</w:t>
            </w:r>
          </w:p>
        </w:tc>
      </w:tr>
      <w:tr w:rsidR="00F6158C" w:rsidTr="000D1838">
        <w:trPr>
          <w:trHeight w:val="391"/>
        </w:trPr>
        <w:tc>
          <w:tcPr>
            <w:tcW w:w="44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widowControl w:val="0"/>
              <w:rPr>
                <w:szCs w:val="24"/>
              </w:rPr>
            </w:pPr>
          </w:p>
        </w:tc>
        <w:tc>
          <w:tcPr>
            <w:tcW w:w="20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widowControl w:val="0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widowControl w:val="0"/>
              <w:rPr>
                <w:szCs w:val="24"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widowControl w:val="0"/>
              <w:rPr>
                <w:szCs w:val="24"/>
              </w:rPr>
            </w:pPr>
          </w:p>
        </w:tc>
      </w:tr>
      <w:tr w:rsidR="00F6158C" w:rsidTr="000D1838">
        <w:trPr>
          <w:trHeight w:val="348"/>
        </w:trPr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6158C" w:rsidTr="00A92398">
        <w:trPr>
          <w:trHeight w:val="2018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Цель 1. Ускорение товародвижения на основе повышения индекса качества транспортной инфраструктуры</w:t>
            </w:r>
            <w:r>
              <w:rPr>
                <w:b/>
                <w:szCs w:val="24"/>
              </w:rPr>
              <w:br/>
              <w:t>на 15,5 процента относительно уровня 2017 года.</w:t>
            </w:r>
          </w:p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 исполнители: первый заместитель Министра транспорта Российской Федерации А.А. Костюк</w:t>
            </w:r>
          </w:p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заместитель Министра транспорта Российской Федерации В.А. Токарев</w:t>
            </w:r>
          </w:p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заместитель Министра транспорта Российской Федерации А.И. Пошивай</w:t>
            </w:r>
          </w:p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заместитель Министра транспорта Российской Федерации И.П. Чалик</w:t>
            </w:r>
          </w:p>
        </w:tc>
      </w:tr>
      <w:tr w:rsidR="008723BF" w:rsidTr="00E86E63">
        <w:trPr>
          <w:trHeight w:val="668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F" w:rsidRDefault="008723BF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(блок мероприятий) 1.1. Развитие инфраструктуры железнодорожного транспорта</w:t>
            </w:r>
          </w:p>
        </w:tc>
      </w:tr>
      <w:tr w:rsidR="008723BF" w:rsidTr="00E86E63">
        <w:trPr>
          <w:trHeight w:val="668"/>
        </w:trPr>
        <w:tc>
          <w:tcPr>
            <w:tcW w:w="6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3BF" w:rsidRPr="008723BF" w:rsidRDefault="008723BF" w:rsidP="008723BF">
            <w:pPr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b/>
                <w:szCs w:val="24"/>
              </w:rPr>
            </w:pPr>
            <w:r w:rsidRPr="008723BF">
              <w:rPr>
                <w:rFonts w:cs="Times New Roman"/>
                <w:b/>
                <w:szCs w:val="24"/>
              </w:rPr>
              <w:t>Индикатор направления (блока мероприятий) 1.1.</w:t>
            </w:r>
          </w:p>
          <w:p w:rsidR="008723BF" w:rsidRPr="008723BF" w:rsidRDefault="008723BF" w:rsidP="008723BF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3BF">
              <w:rPr>
                <w:rFonts w:ascii="Times New Roman" w:hAnsi="Times New Roman" w:cs="Times New Roman"/>
                <w:sz w:val="24"/>
                <w:szCs w:val="24"/>
              </w:rPr>
              <w:t>Объем транзитных перевозок контейнеров железнодорожным транспортом, тыс. штук</w:t>
            </w:r>
            <w:r w:rsidRPr="008723BF">
              <w:rPr>
                <w:rFonts w:ascii="Times New Roman" w:hAnsi="Times New Roman" w:cs="Times New Roman"/>
                <w:sz w:val="24"/>
                <w:szCs w:val="24"/>
              </w:rPr>
              <w:br/>
              <w:t>в двадцатифутовом эквиваленте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23BF" w:rsidRDefault="008723BF" w:rsidP="008723B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23BF" w:rsidRDefault="008723BF" w:rsidP="008723BF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1116,1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23BF" w:rsidRDefault="008723BF" w:rsidP="008723BF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F" w:rsidRDefault="008723BF" w:rsidP="008723BF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58C" w:rsidTr="000D1838">
        <w:trPr>
          <w:trHeight w:val="997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Индикатор направления (блока мероприятий) 1.1.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Сроки доставки транзитных контейнерных перевозок</w:t>
            </w:r>
          </w:p>
          <w:p w:rsidR="00E86E63" w:rsidRDefault="0031438E" w:rsidP="00E86E63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на направлении «Север – Юг» (Красное, порты</w:t>
            </w:r>
            <w:r>
              <w:rPr>
                <w:szCs w:val="24"/>
              </w:rPr>
              <w:br/>
              <w:t>и погранпереходы Северо-Запада – Самур), суток</w:t>
            </w:r>
          </w:p>
          <w:p w:rsidR="00E86E63" w:rsidRPr="00E86E63" w:rsidRDefault="00E86E63" w:rsidP="00E86E63">
            <w:pPr>
              <w:widowControl w:val="0"/>
              <w:ind w:left="720"/>
              <w:jc w:val="both"/>
              <w:rPr>
                <w:sz w:val="16"/>
                <w:szCs w:val="16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997"/>
        </w:trPr>
        <w:tc>
          <w:tcPr>
            <w:tcW w:w="65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1.1.</w:t>
            </w:r>
          </w:p>
          <w:p w:rsidR="00F6158C" w:rsidRDefault="0031438E">
            <w:pPr>
              <w:widowControl w:val="0"/>
              <w:ind w:left="743"/>
              <w:jc w:val="both"/>
              <w:rPr>
                <w:szCs w:val="24"/>
              </w:rPr>
            </w:pPr>
            <w:r>
              <w:rPr>
                <w:szCs w:val="24"/>
              </w:rPr>
              <w:t>Сроки доставки транзитных контейнерных перевозок</w:t>
            </w:r>
          </w:p>
          <w:p w:rsidR="00F6158C" w:rsidRDefault="0031438E">
            <w:pPr>
              <w:widowControl w:val="0"/>
              <w:ind w:left="74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 направлении «Европа – Западный </w:t>
            </w:r>
            <w:r w:rsidR="00A92398">
              <w:rPr>
                <w:szCs w:val="24"/>
              </w:rPr>
              <w:t>Китай» (</w:t>
            </w:r>
            <w:r>
              <w:rPr>
                <w:szCs w:val="24"/>
              </w:rPr>
              <w:t>Красное – Илецк, Озинки, Карталы, Петропавловск), суток</w:t>
            </w:r>
          </w:p>
          <w:p w:rsidR="00E86E63" w:rsidRDefault="00E86E63">
            <w:pPr>
              <w:widowControl w:val="0"/>
              <w:ind w:left="743"/>
              <w:jc w:val="both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2,2</w:t>
            </w:r>
          </w:p>
        </w:tc>
        <w:tc>
          <w:tcPr>
            <w:tcW w:w="1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3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1089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1.1.</w:t>
            </w:r>
          </w:p>
          <w:p w:rsidR="00F6158C" w:rsidRDefault="0031438E">
            <w:pPr>
              <w:widowControl w:val="0"/>
              <w:ind w:left="743"/>
              <w:jc w:val="both"/>
              <w:rPr>
                <w:szCs w:val="24"/>
              </w:rPr>
            </w:pPr>
            <w:r>
              <w:rPr>
                <w:szCs w:val="24"/>
              </w:rPr>
              <w:t>Сроки доставки транзитных контейнерных перевозок</w:t>
            </w:r>
          </w:p>
          <w:p w:rsidR="00F6158C" w:rsidRDefault="0031438E">
            <w:pPr>
              <w:widowControl w:val="0"/>
              <w:ind w:left="743"/>
              <w:jc w:val="both"/>
              <w:rPr>
                <w:szCs w:val="24"/>
              </w:rPr>
            </w:pPr>
            <w:r>
              <w:rPr>
                <w:szCs w:val="24"/>
              </w:rPr>
              <w:t>на направлении «Запад – Восток» (Красное, порты</w:t>
            </w:r>
            <w:r>
              <w:rPr>
                <w:szCs w:val="24"/>
              </w:rPr>
              <w:br/>
              <w:t>и погранпереходы Северо-Запада – Наушки, Забайкальск, порты и погранпереходы Дальнего Востока), суток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1.1.1.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Увеличение пропускной и провозной способности железнодорожной инфраструктуры для увеличения транзитного контейнеропотока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А.А. Федорчук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И.Ю. Коваль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</w:t>
            </w:r>
            <w:r>
              <w:rPr>
                <w:szCs w:val="24"/>
              </w:rPr>
              <w:br/>
              <w:t>с контрольными точками реализации ФП 4 и ФП 19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 w:rsidP="00C246F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</w:t>
            </w:r>
            <w:r w:rsidR="00C246F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 увеличению пропускной</w:t>
            </w:r>
            <w:r w:rsidR="00C246F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провозной </w:t>
            </w:r>
            <w:r w:rsidR="00A92398">
              <w:rPr>
                <w:rFonts w:ascii="Times New Roman" w:hAnsi="Times New Roman"/>
                <w:sz w:val="24"/>
                <w:szCs w:val="24"/>
              </w:rPr>
              <w:t>способности железнодорожной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инфраструктуры позволила сократить сроки доставки на направлениях «Север − Юг», «Европа − Западный Китай», «Запад − Восток»</w:t>
            </w:r>
            <w:bookmarkStart w:id="0" w:name="_Hlk63855534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объем транзитных перевозок контейнеров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1.1.</w:t>
            </w:r>
          </w:p>
          <w:p w:rsidR="00F6158C" w:rsidRDefault="0031438E">
            <w:pPr>
              <w:widowControl w:val="0"/>
              <w:ind w:left="74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Суммарная провозная способность </w:t>
            </w:r>
            <w:r w:rsidR="00A92398">
              <w:rPr>
                <w:szCs w:val="24"/>
              </w:rPr>
              <w:t>магистралей, млн.</w:t>
            </w:r>
            <w:r>
              <w:rPr>
                <w:szCs w:val="24"/>
              </w:rPr>
              <w:t xml:space="preserve"> тонн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3030"/>
        </w:trPr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1.1.2.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Модернизация железнодорожной инфраструктуры Байкало-Амурской</w:t>
            </w:r>
            <w:r>
              <w:rPr>
                <w:szCs w:val="24"/>
              </w:rPr>
              <w:br/>
              <w:t>и Транссибирской железнодорожных магистралей с развитием пропускных</w:t>
            </w:r>
            <w:r>
              <w:rPr>
                <w:szCs w:val="24"/>
              </w:rPr>
              <w:br/>
              <w:t>и провозных способностей (I и II этапы)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А.А. Федорчук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И.Ю. Коваль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</w:t>
            </w:r>
            <w:r>
              <w:rPr>
                <w:szCs w:val="24"/>
              </w:rPr>
              <w:br/>
              <w:t>с контрольными точками реализации ФП 4 и ФП 19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 w:rsidP="001274AF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</w:t>
            </w:r>
            <w:r w:rsidR="001274A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 модернизации железнодорожной инфраструктуры Байкало-Амурской и Транссибирской железнодорожных магистралей позволила сохранить суммарную провозную способность магистралей в объеме</w:t>
            </w:r>
            <w:r w:rsidR="001274A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144 млн. тонн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1420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1.1.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Суммарная провозная способность участков</w:t>
            </w:r>
            <w:r>
              <w:rPr>
                <w:szCs w:val="24"/>
              </w:rPr>
              <w:br/>
              <w:t>к морским портам Азово-Черноморского бассейна, млн. тонн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125,1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1509AD">
        <w:trPr>
          <w:trHeight w:val="1196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1.1.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Суммарная провозная способность участков на подходах к Саратовскому узлу Приволжской железной дороги, млн. тонн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75,6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75,6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310"/>
        </w:trPr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bookmarkStart w:id="1" w:name="P283"/>
            <w:bookmarkEnd w:id="1"/>
            <w:r>
              <w:rPr>
                <w:b/>
                <w:szCs w:val="24"/>
              </w:rPr>
              <w:t>Мероприятие 1.1.3.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Увеличение провозной способности железнодорожной инфраструктуры Азово-Черноморского полигона</w:t>
            </w:r>
            <w:r>
              <w:rPr>
                <w:szCs w:val="24"/>
              </w:rPr>
              <w:br/>
              <w:t>до 152 млн. тонн по итогам 2030 года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А.А. Федорчук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Соисполнители: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И.Ю. Коваль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В.А. Соколов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</w:t>
            </w:r>
            <w:r>
              <w:rPr>
                <w:szCs w:val="24"/>
              </w:rPr>
              <w:br/>
              <w:t>с контрольными точками реализации ФП 4 и ФП 20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 w:rsidP="00C246F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</w:t>
            </w:r>
            <w:r w:rsidR="00C246F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 увеличению провозной способности железнодорожной инфраструктуры Азово-Черноморского полигона позволила увеличить в 2021 году суммарную провозную способность участков на подходах к портам Азово-Черномоорского бассейна до 125,1 млн. тонн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1150"/>
        </w:trPr>
        <w:tc>
          <w:tcPr>
            <w:tcW w:w="65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ind w:left="39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8. Индикатор направления (блока мероприятий) 1.1.</w:t>
            </w:r>
          </w:p>
          <w:p w:rsidR="00F6158C" w:rsidRDefault="0031438E">
            <w:pPr>
              <w:widowControl w:val="0"/>
              <w:ind w:left="624"/>
              <w:jc w:val="both"/>
              <w:rPr>
                <w:szCs w:val="24"/>
              </w:rPr>
            </w:pPr>
            <w:r>
              <w:rPr>
                <w:szCs w:val="24"/>
              </w:rPr>
              <w:t>Время в пути следования по маршруту Москва – Адлер, часов</w:t>
            </w:r>
          </w:p>
        </w:tc>
        <w:tc>
          <w:tcPr>
            <w:tcW w:w="1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3400"/>
        </w:trPr>
        <w:tc>
          <w:tcPr>
            <w:tcW w:w="44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 1.1.4.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Развитие железнодорожной инфраструктуры Черноморского побережья Краснодарского края в целях повышения надежности и улучшения транспортного обслуживания курортной зоны Юга России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А.А. Федорчук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И.Ю. Коваль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</w:t>
            </w:r>
            <w:r>
              <w:rPr>
                <w:szCs w:val="24"/>
              </w:rPr>
              <w:br/>
              <w:t>с контрольными точками реализации</w:t>
            </w:r>
            <w:r>
              <w:rPr>
                <w:szCs w:val="24"/>
              </w:rPr>
              <w:br/>
              <w:t>ФП 20</w:t>
            </w:r>
          </w:p>
        </w:tc>
        <w:tc>
          <w:tcPr>
            <w:tcW w:w="1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году продолжилась реализация мероприятий, направленных на сокращение времени в пути 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направлении </w:t>
            </w:r>
            <w:r w:rsidR="001274A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="001274A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Юг</w:t>
            </w:r>
            <w:r w:rsidR="001274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1420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ind w:left="454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9. Индикатор направления (блока мероприятий) 1.1.</w:t>
            </w:r>
          </w:p>
          <w:p w:rsidR="00F6158C" w:rsidRDefault="0031438E">
            <w:pPr>
              <w:widowControl w:val="0"/>
              <w:ind w:left="680"/>
              <w:jc w:val="both"/>
              <w:rPr>
                <w:szCs w:val="24"/>
              </w:rPr>
            </w:pPr>
            <w:r>
              <w:rPr>
                <w:szCs w:val="24"/>
              </w:rPr>
              <w:t>Суммарная провозная способность участков</w:t>
            </w:r>
            <w:r>
              <w:rPr>
                <w:szCs w:val="24"/>
              </w:rPr>
              <w:br/>
              <w:t>на подходах к морским портам Северо-Западного бассейна, млн. тонн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145,6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D1E" w:rsidTr="00C80D1E">
        <w:trPr>
          <w:trHeight w:val="1420"/>
        </w:trPr>
        <w:tc>
          <w:tcPr>
            <w:tcW w:w="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1.1.5.</w:t>
            </w:r>
          </w:p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Увеличение провозной способности железнодорожной инфраструктуры Северо-Западного полигона</w:t>
            </w:r>
          </w:p>
          <w:p w:rsidR="00C80D1E" w:rsidRDefault="00C80D1E" w:rsidP="00E86E63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А.А. Федорчук</w:t>
            </w:r>
          </w:p>
          <w:p w:rsidR="00C80D1E" w:rsidRDefault="00C80D1E" w:rsidP="00E86E63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Соисполнители:</w:t>
            </w:r>
          </w:p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И.Ю. Коваль</w:t>
            </w:r>
          </w:p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В.А. Соколов</w:t>
            </w:r>
          </w:p>
        </w:tc>
        <w:tc>
          <w:tcPr>
            <w:tcW w:w="2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</w:t>
            </w:r>
            <w:r>
              <w:rPr>
                <w:szCs w:val="24"/>
              </w:rPr>
              <w:br/>
              <w:t>с контрольными точками реализации</w:t>
            </w:r>
            <w:r>
              <w:rPr>
                <w:szCs w:val="24"/>
              </w:rPr>
              <w:br/>
              <w:t>ФП 21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1E" w:rsidRDefault="00C80D1E" w:rsidP="00E86E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1E" w:rsidRDefault="00C80D1E" w:rsidP="00E86E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1E" w:rsidRDefault="00C80D1E" w:rsidP="00C246F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</w:t>
            </w:r>
            <w:r w:rsidR="00C246F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 увеличению провозной способности железнодорожной инфраструктуры Северо-Западного полигона позволила сохранить</w:t>
            </w:r>
            <w:r w:rsidR="00C246F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 2021 году суммарную провозную способность участков на подходах к портам Северо-Западного бассейна в объеме 145,6 млн. тонн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1E" w:rsidRDefault="00C80D1E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A92398">
        <w:trPr>
          <w:trHeight w:val="650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(блок мероприятий) 1.2. Развитие инфраструктуры внутреннего водного транспорта</w:t>
            </w:r>
          </w:p>
        </w:tc>
      </w:tr>
      <w:tr w:rsidR="00F6158C" w:rsidTr="000D1838">
        <w:trPr>
          <w:trHeight w:val="1700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1.2.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Доля судоходных гидротехнических сооружений, подлежащих декларированию безопасности, имеющих опасный и неудовлетворительный уровень безопасности, %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8,8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398" w:rsidTr="000D1838">
        <w:trPr>
          <w:trHeight w:val="1700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98" w:rsidRDefault="00A92398" w:rsidP="00A92398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 1.2.1.</w:t>
            </w:r>
          </w:p>
          <w:p w:rsidR="00A92398" w:rsidRDefault="00A92398" w:rsidP="00A9239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инвестиционных проектов по строительству и реконструкции судоходных гидротехнических сооружений и внутренних водных путей Единой глубоководной системы европейской части России, Сибири</w:t>
            </w:r>
            <w:r>
              <w:rPr>
                <w:szCs w:val="24"/>
              </w:rPr>
              <w:br/>
              <w:t>и Дальнего Востока</w:t>
            </w:r>
          </w:p>
          <w:p w:rsidR="00A92398" w:rsidRDefault="00A92398" w:rsidP="00A92398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A92398" w:rsidRDefault="00A92398" w:rsidP="00A9239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В.В. Клюев</w:t>
            </w:r>
          </w:p>
          <w:p w:rsidR="00A92398" w:rsidRDefault="00A92398" w:rsidP="00A92398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A92398" w:rsidRDefault="00A92398" w:rsidP="00A9239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Лаврищев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98" w:rsidRDefault="00A92398" w:rsidP="00A92398">
            <w:pPr>
              <w:pStyle w:val="28"/>
              <w:spacing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контроль</w:t>
            </w:r>
            <w:r w:rsidR="00C24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ными точками реализации ФП 9, ФП 33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98" w:rsidRDefault="00A92398" w:rsidP="00A92398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98" w:rsidRDefault="00A92398" w:rsidP="00A9239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2021 году в соответствии</w:t>
            </w:r>
            <w:r>
              <w:rPr>
                <w:szCs w:val="24"/>
              </w:rPr>
              <w:br/>
              <w:t>с федеральной адресной инвестиционной программой было запланировано введение</w:t>
            </w:r>
            <w:r>
              <w:rPr>
                <w:szCs w:val="24"/>
              </w:rPr>
              <w:br/>
              <w:t>в эксплуатацию 3 объектов.</w:t>
            </w:r>
          </w:p>
          <w:p w:rsidR="00A92398" w:rsidRDefault="00A92398" w:rsidP="00A9239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Введен в эксплуатацию 1 объект − несамоходный землесос класса</w:t>
            </w:r>
            <w:r>
              <w:rPr>
                <w:szCs w:val="24"/>
              </w:rPr>
              <w:br/>
              <w:t>«О 2, (лед 10)А» проекта № 4395.</w:t>
            </w:r>
          </w:p>
          <w:p w:rsidR="00A92398" w:rsidRDefault="00A92398" w:rsidP="00A92398">
            <w:pPr>
              <w:widowControl w:val="0"/>
              <w:ind w:firstLine="57"/>
              <w:jc w:val="both"/>
              <w:rPr>
                <w:szCs w:val="24"/>
              </w:rPr>
            </w:pPr>
            <w:r>
              <w:rPr>
                <w:szCs w:val="24"/>
              </w:rPr>
              <w:t>Завершено строительство</w:t>
            </w:r>
            <w:r>
              <w:rPr>
                <w:szCs w:val="24"/>
              </w:rPr>
              <w:br/>
              <w:t>2 объектов Волго-Донского судоходного канала.</w:t>
            </w:r>
          </w:p>
          <w:p w:rsidR="00A92398" w:rsidRDefault="00A92398" w:rsidP="00A9239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 учетом установленных Ростехнадзором сроков проведения итоговых проверок разрешение на ввод объектов планируется получить в феврале 2022 г.</w:t>
            </w:r>
          </w:p>
          <w:p w:rsidR="00A92398" w:rsidRDefault="00A92398" w:rsidP="00A92398">
            <w:pPr>
              <w:widowControl w:val="0"/>
              <w:ind w:firstLine="57"/>
              <w:jc w:val="both"/>
              <w:rPr>
                <w:szCs w:val="24"/>
              </w:rPr>
            </w:pPr>
            <w:r>
              <w:rPr>
                <w:szCs w:val="24"/>
              </w:rPr>
              <w:t>Также в 2021 году завершены проектно-изыскательские работы по 5 объектам:</w:t>
            </w:r>
          </w:p>
          <w:p w:rsidR="00A92398" w:rsidRDefault="00A92398" w:rsidP="00A92398">
            <w:pPr>
              <w:widowControl w:val="0"/>
              <w:ind w:firstLine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«Разработка и реализация комплексного проекта реконструкции гидросооружений </w:t>
            </w:r>
            <w:r>
              <w:rPr>
                <w:szCs w:val="24"/>
              </w:rPr>
              <w:lastRenderedPageBreak/>
              <w:t>Беломорско-Балтийского канала. Плотина № 23»;</w:t>
            </w:r>
          </w:p>
          <w:p w:rsidR="00A92398" w:rsidRDefault="00A92398" w:rsidP="00A92398">
            <w:pPr>
              <w:widowControl w:val="0"/>
              <w:ind w:firstLine="57"/>
              <w:jc w:val="both"/>
              <w:rPr>
                <w:szCs w:val="24"/>
              </w:rPr>
            </w:pPr>
            <w:r>
              <w:rPr>
                <w:szCs w:val="24"/>
              </w:rPr>
              <w:t>«Разработка и реализация комплексного проекта реконструкции гидротехнических сооружений и водных путей Енисейского бассейна I этап</w:t>
            </w:r>
            <w:r>
              <w:rPr>
                <w:szCs w:val="24"/>
              </w:rPr>
              <w:br/>
              <w:t>(2 очередь)»;</w:t>
            </w:r>
          </w:p>
          <w:p w:rsidR="00A92398" w:rsidRDefault="00A92398" w:rsidP="00A92398">
            <w:pPr>
              <w:widowControl w:val="0"/>
              <w:ind w:firstLine="57"/>
              <w:jc w:val="both"/>
              <w:rPr>
                <w:szCs w:val="24"/>
              </w:rPr>
            </w:pPr>
            <w:r>
              <w:rPr>
                <w:szCs w:val="24"/>
              </w:rPr>
              <w:t>«Разработка и реализация комплексного проекта реконструкции гидротехнических сооружений и водных путей Енисейского бассейна. Модернизация ремонтно-отстойного пункта Кызылского прорабства»;</w:t>
            </w:r>
          </w:p>
          <w:p w:rsidR="00A92398" w:rsidRDefault="00A92398" w:rsidP="00A92398">
            <w:pPr>
              <w:widowControl w:val="0"/>
              <w:ind w:firstLine="57"/>
              <w:jc w:val="both"/>
              <w:rPr>
                <w:szCs w:val="24"/>
              </w:rPr>
            </w:pPr>
            <w:r>
              <w:rPr>
                <w:szCs w:val="24"/>
              </w:rPr>
              <w:t>«Разработка и реализация комплексного проекта реконструкции гидротехнических сооружений и водных путей Енисейского бассейна. Модернизация ремонтно-отстойного пункта «Рыбное» на р. Ангара»;</w:t>
            </w:r>
          </w:p>
          <w:p w:rsidR="00A92398" w:rsidRDefault="00A92398" w:rsidP="00A92398">
            <w:pPr>
              <w:widowControl w:val="0"/>
              <w:ind w:firstLine="57"/>
              <w:jc w:val="both"/>
              <w:rPr>
                <w:szCs w:val="24"/>
              </w:rPr>
            </w:pPr>
            <w:r>
              <w:rPr>
                <w:szCs w:val="24"/>
              </w:rPr>
              <w:t>«Разработка и реализация комплексного проекта реконструкции гидротехнических сооружений и водных путей Енисейского бассейна. Модернизация Симоновских ремонтно-механических мастерских в г. Енисейск»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98" w:rsidRDefault="00A92398" w:rsidP="00A9239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A92398"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(блок мероприятий) 1.3. Развитие сети автомобильных дорог федерального значения</w:t>
            </w: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1.3.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Строительство и реконструкция автомобильных дорог федерального значения, км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244,9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jc w:val="both"/>
              <w:rPr>
                <w:rFonts w:ascii="Times New Roman" w:hAnsi="Times New Roman"/>
                <w:color w:val="C9211E"/>
                <w:sz w:val="24"/>
                <w:szCs w:val="24"/>
              </w:rPr>
            </w:pPr>
          </w:p>
        </w:tc>
      </w:tr>
      <w:tr w:rsidR="00F6158C" w:rsidTr="000D1838">
        <w:trPr>
          <w:trHeight w:val="28"/>
        </w:trPr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1.3.1.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инвестиционных проектов</w:t>
            </w:r>
            <w:r>
              <w:rPr>
                <w:szCs w:val="24"/>
              </w:rPr>
              <w:br/>
              <w:t>по строительству и реконструкции участков автомобильных дорог федерального значения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Шилов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Соисполнители: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В.П. Петушенко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Р.В. Новиков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</w:t>
            </w:r>
            <w:r>
              <w:rPr>
                <w:szCs w:val="24"/>
              </w:rPr>
              <w:br/>
              <w:t>с контрольными точками реализации</w:t>
            </w:r>
            <w:r>
              <w:rPr>
                <w:szCs w:val="24"/>
              </w:rPr>
              <w:br/>
              <w:t>ФП 25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Плановое значение достигнуто</w:t>
            </w:r>
            <w:r>
              <w:rPr>
                <w:szCs w:val="24"/>
              </w:rPr>
              <w:br/>
              <w:t>за счет ввода в эксплуатацию</w:t>
            </w:r>
            <w:r>
              <w:rPr>
                <w:szCs w:val="24"/>
              </w:rPr>
              <w:br/>
              <w:t>по итогам 2021 года участков автомобильных дорог протяженностью 152,8 км</w:t>
            </w:r>
            <w:r>
              <w:rPr>
                <w:szCs w:val="24"/>
              </w:rPr>
              <w:br/>
              <w:t>в компетенции Росавтодора</w:t>
            </w:r>
            <w:r>
              <w:rPr>
                <w:szCs w:val="24"/>
              </w:rPr>
              <w:br/>
              <w:t>и 137 км в компетенции Государственной компании «Автодор».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Стоит отметить наиболее значимые мероприятия, завершенные</w:t>
            </w:r>
            <w:r>
              <w:rPr>
                <w:szCs w:val="24"/>
              </w:rPr>
              <w:br/>
              <w:t>в 2021 году в рамках федерального проекта «Развитие федеральной магистральной сети»: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строительство пускового комплекса № 1 Центральной кольцевой автомобильной дороги Московской области;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реконструкция автомобильной дороги федерального значения М-4 «Дон» Москва – Воронеж – Ростов-на-Дону – Краснодар –Новороссийск км 275 – км 287, Тульская область (досрочный ввод в эксплуатацию);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реконструкция автомобильной дороги федерального значения М-1 </w:t>
            </w:r>
            <w:r>
              <w:rPr>
                <w:szCs w:val="24"/>
              </w:rPr>
              <w:lastRenderedPageBreak/>
              <w:t>«Беларусь» Москва – граница</w:t>
            </w:r>
            <w:r>
              <w:rPr>
                <w:szCs w:val="24"/>
              </w:rPr>
              <w:br/>
              <w:t>с Республикой Белоруссия км 44 – км 66, Московская область;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строительство обхода</w:t>
            </w:r>
            <w:r>
              <w:rPr>
                <w:szCs w:val="24"/>
              </w:rPr>
              <w:br/>
              <w:t>г. Мариинска автомобильной дороги Р-255 «Сибирь» Новосибирск – Кемерово – Красноярск – Иркутск, Кемеровская область;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обход ж/д станции Сенная на автомобильной дороге Р-228 Сызрань – Саратов – Волгоград, Саратовская область;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реконструкция моста через</w:t>
            </w:r>
            <w:r>
              <w:rPr>
                <w:szCs w:val="24"/>
              </w:rPr>
              <w:br/>
              <w:t>р. Ардон на км 33</w:t>
            </w:r>
            <w:r w:rsidR="001274AF">
              <w:rPr>
                <w:szCs w:val="24"/>
              </w:rPr>
              <w:t xml:space="preserve"> </w:t>
            </w:r>
            <w:r>
              <w:rPr>
                <w:szCs w:val="24"/>
              </w:rPr>
              <w:t>+</w:t>
            </w:r>
            <w:r w:rsidR="001274AF">
              <w:rPr>
                <w:szCs w:val="24"/>
              </w:rPr>
              <w:t xml:space="preserve"> </w:t>
            </w:r>
            <w:r>
              <w:rPr>
                <w:szCs w:val="24"/>
              </w:rPr>
              <w:t>500 автомобильной дороги</w:t>
            </w:r>
            <w:r>
              <w:rPr>
                <w:szCs w:val="24"/>
              </w:rPr>
              <w:br/>
              <w:t>Владикавказ – Алагир, Республика Северная Осетия</w:t>
            </w:r>
            <w:r w:rsidR="001274AF">
              <w:rPr>
                <w:szCs w:val="24"/>
              </w:rPr>
              <w:t>-</w:t>
            </w:r>
            <w:r>
              <w:rPr>
                <w:szCs w:val="24"/>
              </w:rPr>
              <w:t>Алания;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реконструкция автомобильной дороги А-157 Минеральные Воды (аэропорт) – Кисловодск на участке км 36 – км 46, Ставропольский край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A92398"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(блок мероприятий) 1.4. Организация развития скоростных автомобильных дорог на условиях государственно-частного партнерства</w:t>
            </w: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4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1.4.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Строительство и реконструкция автомобильных дорог федерального значения на условиях государственно-частного партнерства, км</w:t>
            </w:r>
          </w:p>
          <w:p w:rsidR="00C80D1E" w:rsidRDefault="00C80D1E">
            <w:pPr>
              <w:widowControl w:val="0"/>
              <w:ind w:left="720"/>
              <w:jc w:val="both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49,5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1.4.1.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инвестиционных проектов по строительству и реконструкции скоростных автомобильных дорог федерального значения на условиях государственно-частного партнерства, находящихся в доверительном управлении Государственной компании «Российские автомобильные дороги»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Шилов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В.П. Петушенко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</w:t>
            </w:r>
            <w:r>
              <w:rPr>
                <w:szCs w:val="24"/>
              </w:rPr>
              <w:br/>
              <w:t>с контрольными точками реализации</w:t>
            </w:r>
            <w:r>
              <w:rPr>
                <w:szCs w:val="24"/>
              </w:rPr>
              <w:br/>
              <w:t>ФП 25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заключенных Государственной компанией «Автодор» инвестиционных соглашений на принципах государственно-частного партнерства введен в эксплуатацию пусковой комплекс № 1 Центральной кольцевой автомобильной дороги Московской области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A92398">
        <w:trPr>
          <w:trHeight w:val="616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(блок мероприятий) 1.5. Обеспечение функционирования сети автомобильных дорог федерального значения</w:t>
            </w: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1.5.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Протяженность автомобильных дорог общего пользования федерального значения, соответствующих нормативным требованиям</w:t>
            </w:r>
            <w:r>
              <w:rPr>
                <w:szCs w:val="24"/>
              </w:rPr>
              <w:br/>
              <w:t>к транспортно-эксплуатационным показателям, км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51238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48710,3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не достигло планового.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достижении запланированных величин индикаторов носят оперативный оценочный характер и могут быть уточнены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1447"/>
        </w:trPr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1.5.1.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капитального ремонта, ремонта и содержания автомобильных дорог общего пользования федерального значения, находящихся в оперативном управлении федеральных казенных учреждений, подведомственных Федеральному дорожному агентству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Шилов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Р.В. Новиков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  <w:p w:rsidR="00F6158C" w:rsidRDefault="00F6158C">
            <w:pPr>
              <w:widowControl w:val="0"/>
              <w:jc w:val="both"/>
              <w:rPr>
                <w:szCs w:val="24"/>
                <w:highlight w:val="yellow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 капитальный ремонт, ремонт и содержание участков </w:t>
            </w:r>
            <w:r w:rsidRPr="00A9239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6 067 км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C80D1E"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1.5.2.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капитального ремонта, ремонта и содержания автомобильных дорог общего пользования федерального значения, переданных в доверительное управление Государственной компании «Российские автомобильные дороги»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Шилов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В.П. Петушенко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  <w:p w:rsidR="00F6158C" w:rsidRDefault="00F6158C">
            <w:pPr>
              <w:widowControl w:val="0"/>
              <w:jc w:val="both"/>
              <w:rPr>
                <w:b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 капитальный ремонт</w:t>
            </w:r>
            <w:r>
              <w:rPr>
                <w:szCs w:val="24"/>
              </w:rPr>
              <w:br/>
              <w:t>и ремонт участков протяженностью 400,6 км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C80D1E">
        <w:trPr>
          <w:trHeight w:val="831"/>
        </w:trPr>
        <w:tc>
          <w:tcPr>
            <w:tcW w:w="1517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(блок мероприятий) 1.6. Содействие развитию автомобильных дорог регионального или межмуниципального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и местного значения</w:t>
            </w: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6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1.6.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Строительство и реконструкция автомобильных дорог регионального или межмуниципального</w:t>
            </w:r>
            <w:r>
              <w:rPr>
                <w:szCs w:val="24"/>
              </w:rPr>
              <w:br/>
              <w:t>и местного значения, км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336,7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Указанные сведения носят предварительный оценочный характер и могут быть уточнены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итогам сдачи администрациями субъектов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муниципальных образований необходимой отчетности</w:t>
            </w:r>
          </w:p>
          <w:p w:rsidR="00C9183E" w:rsidRDefault="00C9183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C72242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1.6.1.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инвестиционных проектов по строительству и реконструкции автомобильных дорог регионального или межмуниципального и местного значения</w:t>
            </w:r>
            <w:r>
              <w:rPr>
                <w:b/>
                <w:szCs w:val="24"/>
              </w:rPr>
              <w:t xml:space="preserve"> 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Шилов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И.В. Костюченко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</w:t>
            </w:r>
            <w:r>
              <w:rPr>
                <w:szCs w:val="24"/>
              </w:rPr>
              <w:br/>
              <w:t>с контрольными точками реализации</w:t>
            </w:r>
            <w:r>
              <w:rPr>
                <w:szCs w:val="24"/>
              </w:rPr>
              <w:br/>
              <w:t>ФП 23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242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году протяженность введенных в эксплуатацию участков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ведомственной целевой программы «Содействие развитию автомобильных дорог регионального, межмуниципального и местного значения» составила 236 км,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федерального проекта «Региональная и местная дорожная сеть» − 110 км</w:t>
            </w:r>
          </w:p>
          <w:p w:rsidR="00C72242" w:rsidRDefault="00C72242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242" w:rsidRDefault="00C72242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242" w:rsidRDefault="00C72242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242" w:rsidRDefault="00C72242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242" w:rsidRDefault="00C72242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242" w:rsidRDefault="00C72242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398" w:rsidTr="00C72242">
        <w:tc>
          <w:tcPr>
            <w:tcW w:w="15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98" w:rsidRPr="00A92398" w:rsidRDefault="00A92398" w:rsidP="00A92398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A92398">
              <w:rPr>
                <w:rFonts w:cs="Times New Roman"/>
                <w:b/>
                <w:szCs w:val="24"/>
              </w:rPr>
              <w:t>Цель 2. Повышение доступности качественных транспортных услуг для обеспечения транспортной подвижности населения на уровне</w:t>
            </w:r>
            <w:r w:rsidRPr="00A92398">
              <w:rPr>
                <w:rFonts w:cs="Times New Roman"/>
                <w:b/>
                <w:szCs w:val="24"/>
              </w:rPr>
              <w:br/>
              <w:t>9,5 тыс. пасс.-км на 1 жителя.</w:t>
            </w:r>
          </w:p>
          <w:p w:rsidR="00A92398" w:rsidRPr="00A92398" w:rsidRDefault="00A92398" w:rsidP="00A92398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A92398">
              <w:rPr>
                <w:rFonts w:cs="Times New Roman"/>
                <w:b/>
                <w:szCs w:val="24"/>
              </w:rPr>
              <w:t>Ответственные исполнители: заместитель Министра транспорта Российской Федерации И.П. Чалик</w:t>
            </w:r>
          </w:p>
          <w:p w:rsidR="00A92398" w:rsidRDefault="00A92398" w:rsidP="00A92398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39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Министра транспорта Российской Федерации В.А. Токарев</w:t>
            </w:r>
          </w:p>
        </w:tc>
      </w:tr>
      <w:tr w:rsidR="00F6158C" w:rsidTr="00C72242">
        <w:trPr>
          <w:trHeight w:val="658"/>
        </w:trPr>
        <w:tc>
          <w:tcPr>
            <w:tcW w:w="15173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(блок мероприятий) 2.1. Обеспечение потребности в перевозках пассажиров железнодорожным транспортом</w:t>
            </w:r>
          </w:p>
        </w:tc>
      </w:tr>
      <w:tr w:rsidR="00F6158C" w:rsidTr="000D1838">
        <w:trPr>
          <w:trHeight w:val="1291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7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2.1.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Пассажиропоток в железнодорожном сообщении для ключевых направлений Центрального транспортного узла, млн. пассажиров в год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672,1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706,9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2.1.1.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Усиление железнодорожной инфраструктуры для освоения прогнозируемых пассажирских перевозок</w:t>
            </w:r>
            <w:r>
              <w:rPr>
                <w:szCs w:val="24"/>
              </w:rPr>
              <w:br/>
              <w:t>в Центральном транспортном узле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А.А. Федорчук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И.Ю. Коваль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 w:rsidP="00C80D1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</w:t>
            </w:r>
            <w:r>
              <w:rPr>
                <w:szCs w:val="24"/>
              </w:rPr>
              <w:br/>
              <w:t>с контрольными точками реализации</w:t>
            </w:r>
            <w:r w:rsidR="00C80D1E">
              <w:rPr>
                <w:szCs w:val="24"/>
              </w:rPr>
              <w:t xml:space="preserve"> </w:t>
            </w:r>
            <w:r>
              <w:rPr>
                <w:szCs w:val="24"/>
              </w:rPr>
              <w:t>ФП 22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 w:rsidP="00C246F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мероприятий</w:t>
            </w:r>
            <w:r w:rsidR="00C246FE">
              <w:rPr>
                <w:szCs w:val="24"/>
              </w:rPr>
              <w:br/>
            </w:r>
            <w:r>
              <w:rPr>
                <w:szCs w:val="24"/>
              </w:rPr>
              <w:t>по усилению железнодорожной инфраструктуры для освоения прогнозируемых пассажирских перевозок в Центральном транспортном узле позволила увеличить по итогам 2021 года пассажиропоток в пригородном железнодорожном сообщении Центрального транспортного узла</w:t>
            </w:r>
            <w:r w:rsidR="00C246FE">
              <w:rPr>
                <w:szCs w:val="24"/>
              </w:rPr>
              <w:br/>
            </w:r>
            <w:r>
              <w:rPr>
                <w:szCs w:val="24"/>
              </w:rPr>
              <w:t>в объеме 706,9 млн. пассажиров, что на 34,8 млн. пассажиров больше планового значения показателя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636849481"/>
            <w:bookmarkEnd w:id="2"/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7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2.1.</w:t>
            </w:r>
          </w:p>
          <w:p w:rsidR="00F6158C" w:rsidRDefault="0031438E">
            <w:pPr>
              <w:widowControl w:val="0"/>
              <w:ind w:left="737"/>
              <w:jc w:val="both"/>
              <w:rPr>
                <w:szCs w:val="24"/>
              </w:rPr>
            </w:pPr>
            <w:r>
              <w:rPr>
                <w:szCs w:val="24"/>
              </w:rPr>
              <w:t>Транспортная подвижность населения</w:t>
            </w:r>
            <w:r>
              <w:rPr>
                <w:szCs w:val="24"/>
              </w:rPr>
              <w:br/>
              <w:t>на железнодорожном транспорте, пасс.-км</w:t>
            </w:r>
            <w:r>
              <w:rPr>
                <w:szCs w:val="24"/>
              </w:rPr>
              <w:br/>
              <w:t>на 1 жителя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878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712,9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не достигло планового.</w:t>
            </w:r>
          </w:p>
          <w:p w:rsidR="00C72242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Причиной недостижения явились ограничения, направленные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предотвращение распространения новой коронавирусной инфекции (COVID-19)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7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2.1.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Отправленные пассажиры в дальнем </w:t>
            </w:r>
            <w:r w:rsidR="00C72242">
              <w:rPr>
                <w:szCs w:val="24"/>
              </w:rPr>
              <w:t>следовании, в</w:t>
            </w:r>
            <w:r>
              <w:rPr>
                <w:szCs w:val="24"/>
              </w:rPr>
              <w:t xml:space="preserve"> том числе в регулируемом государственном секторе, млн. человек</w:t>
            </w:r>
          </w:p>
        </w:tc>
        <w:tc>
          <w:tcPr>
            <w:tcW w:w="1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128,7</w:t>
            </w:r>
          </w:p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</w:t>
            </w:r>
          </w:p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49,06</w:t>
            </w:r>
          </w:p>
        </w:tc>
        <w:tc>
          <w:tcPr>
            <w:tcW w:w="3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не достигло планового.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Причиной недостижения явились ограничения, направленные на предотвращение распространения новой коронавирусной инфекции (COVID-19)</w:t>
            </w:r>
          </w:p>
        </w:tc>
        <w:tc>
          <w:tcPr>
            <w:tcW w:w="2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C246FE">
        <w:trPr>
          <w:trHeight w:val="1112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7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Индикатор направления (блока мероприятий) 2.1.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Объем транспортной работы в пригородном сообщении, млн. </w:t>
            </w:r>
            <w:r w:rsidR="00C72242">
              <w:rPr>
                <w:szCs w:val="24"/>
              </w:rPr>
              <w:t>ваг. -</w:t>
            </w:r>
            <w:r>
              <w:rPr>
                <w:szCs w:val="24"/>
              </w:rPr>
              <w:t>км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1301,8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63865447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End w:id="3"/>
            <w:r>
              <w:rPr>
                <w:rFonts w:ascii="Times New Roman" w:hAnsi="Times New Roman"/>
                <w:sz w:val="24"/>
                <w:szCs w:val="24"/>
              </w:rPr>
              <w:t>361,0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1120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7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2.1.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Объем пассажирских перевозок (пассажирооборот) </w:t>
            </w:r>
            <w:r>
              <w:rPr>
                <w:szCs w:val="24"/>
              </w:rPr>
              <w:br/>
              <w:t xml:space="preserve">на Крымском полуострове, млн. </w:t>
            </w:r>
            <w:r w:rsidR="00C72242">
              <w:rPr>
                <w:szCs w:val="24"/>
              </w:rPr>
              <w:t>пасс. -</w:t>
            </w:r>
            <w:r>
              <w:rPr>
                <w:szCs w:val="24"/>
              </w:rPr>
              <w:t>км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478,8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F6158C">
            <w:pPr>
              <w:pStyle w:val="ConsPlusNormal0"/>
              <w:jc w:val="both"/>
              <w:rPr>
                <w:rFonts w:ascii="Times New Roman" w:hAnsi="Times New Roman"/>
                <w:color w:val="C9211E"/>
                <w:sz w:val="24"/>
                <w:szCs w:val="24"/>
              </w:rPr>
            </w:pPr>
          </w:p>
        </w:tc>
      </w:tr>
      <w:tr w:rsidR="00F6158C" w:rsidTr="000D1838">
        <w:trPr>
          <w:trHeight w:val="1067"/>
        </w:trPr>
        <w:tc>
          <w:tcPr>
            <w:tcW w:w="65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7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2.1.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Объем грузовых перевозок (грузооборот)</w:t>
            </w:r>
            <w:r>
              <w:rPr>
                <w:szCs w:val="24"/>
              </w:rPr>
              <w:br/>
              <w:t>на Крымском полуострове, млн. т-км</w:t>
            </w:r>
          </w:p>
        </w:tc>
        <w:tc>
          <w:tcPr>
            <w:tcW w:w="1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1462,83</w:t>
            </w:r>
          </w:p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(1190,82)</w:t>
            </w:r>
          </w:p>
        </w:tc>
        <w:tc>
          <w:tcPr>
            <w:tcW w:w="1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1218,57</w:t>
            </w:r>
          </w:p>
        </w:tc>
        <w:tc>
          <w:tcPr>
            <w:tcW w:w="3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достигло плановое.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дополнительным соглашением между Росжелдором и ФГУП «Крымская железная дорога» от 30 декабря 2021 г. №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соглашению о предоставлении из федерального бюджета субсидии ФГУП «Крымская железная дорога» от 3 февраля 2021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109-11-2021-015 в 2021 году значение показателя  скорректировано до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1190,82 млн. т-км</w:t>
            </w:r>
          </w:p>
        </w:tc>
        <w:tc>
          <w:tcPr>
            <w:tcW w:w="2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F6158C">
            <w:pPr>
              <w:pStyle w:val="ConsPlusNormal0"/>
              <w:jc w:val="both"/>
              <w:rPr>
                <w:rFonts w:ascii="Times New Roman" w:hAnsi="Times New Roman"/>
                <w:color w:val="C9211E"/>
                <w:sz w:val="24"/>
                <w:szCs w:val="24"/>
              </w:rPr>
            </w:pPr>
          </w:p>
        </w:tc>
      </w:tr>
      <w:tr w:rsidR="00F6158C" w:rsidTr="000D1838">
        <w:trPr>
          <w:trHeight w:val="1067"/>
        </w:trPr>
        <w:tc>
          <w:tcPr>
            <w:tcW w:w="65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7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2.1.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Снижение на Крымском полуострове показателя просроченности ремонтами пути, %</w:t>
            </w:r>
          </w:p>
        </w:tc>
        <w:tc>
          <w:tcPr>
            <w:tcW w:w="1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24,58</w:t>
            </w:r>
          </w:p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(32,27)</w:t>
            </w:r>
          </w:p>
        </w:tc>
        <w:tc>
          <w:tcPr>
            <w:tcW w:w="1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32,24</w:t>
            </w:r>
          </w:p>
        </w:tc>
        <w:tc>
          <w:tcPr>
            <w:tcW w:w="3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дополнительным соглашением между Росжелдором и ФГУП «Крымская железная дорога» от 30 декабря 2021 г. №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соглашению о предоставлении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 федерального бюджета субсидии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ФГУП «Крымская железная дорога» от 3 февраля 2021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109-11-2021-015 в 2021 году значение показателя скорректировано до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32,27 %</w:t>
            </w:r>
          </w:p>
        </w:tc>
        <w:tc>
          <w:tcPr>
            <w:tcW w:w="2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F6158C">
            <w:pPr>
              <w:pStyle w:val="ConsPlusNormal0"/>
              <w:jc w:val="both"/>
              <w:rPr>
                <w:rFonts w:ascii="Times New Roman" w:hAnsi="Times New Roman"/>
                <w:color w:val="C9211E"/>
                <w:sz w:val="24"/>
                <w:szCs w:val="24"/>
              </w:rPr>
            </w:pPr>
          </w:p>
        </w:tc>
      </w:tr>
      <w:tr w:rsidR="00F6158C" w:rsidTr="000D1838">
        <w:trPr>
          <w:trHeight w:val="3590"/>
        </w:trPr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Мероприятие 2.1.2.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организациям железнодорожного транспорта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компенсацию потерь в доходах, возникающих в результате государственного регулирования тарифов на перевозку пассажиров в поездах дальнего следования в плацкартных</w:t>
            </w:r>
            <w:r w:rsidR="00C246F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 общих вагонах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Федорчук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Соисполнитель:</w:t>
            </w:r>
          </w:p>
          <w:p w:rsidR="00F6158C" w:rsidRPr="00C72242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И.Ю. Коваль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Предоставлены субсидии</w:t>
            </w:r>
            <w:r>
              <w:rPr>
                <w:szCs w:val="24"/>
              </w:rPr>
              <w:br/>
              <w:t>на компенсацию потерь в доходах, возникающих в результате государственного регулирования тарифов на перевозку пассажиров</w:t>
            </w:r>
            <w:r>
              <w:rPr>
                <w:szCs w:val="24"/>
              </w:rPr>
              <w:br/>
              <w:t>в поездах дальнего следования</w:t>
            </w:r>
            <w:r>
              <w:rPr>
                <w:szCs w:val="24"/>
              </w:rPr>
              <w:br/>
              <w:t>в плацкартных и общих вагонах,</w:t>
            </w:r>
            <w:r>
              <w:rPr>
                <w:szCs w:val="24"/>
              </w:rPr>
              <w:br/>
              <w:t>в объеме 9,55 млрд. рублей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2.1.3.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организациям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компенсацию потерь в доходах, возникающих в результате установления льгот по тарифам на перевозку обучающихся и воспитанников общеобразовательных учреждений старше 10 лет железнодорожным транспортом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общих и плацкартных вагонах, а также двухэтажных пассажирских вагонах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четырехместными купе в поездах дальнего следования всех категорий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Федорчук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Соисполнитель: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И.Ю. Коваль</w:t>
            </w:r>
          </w:p>
          <w:p w:rsidR="00F6158C" w:rsidRDefault="00F6158C">
            <w:pPr>
              <w:pStyle w:val="ConsPlusNormal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Предоставлены субсидии</w:t>
            </w:r>
            <w:r>
              <w:rPr>
                <w:szCs w:val="24"/>
              </w:rPr>
              <w:br/>
              <w:t>на компенсацию потерь, возникающих в результате установления льгот по тарифам</w:t>
            </w:r>
            <w:r>
              <w:rPr>
                <w:szCs w:val="24"/>
              </w:rPr>
              <w:br/>
              <w:t>на перевозку обучающихся</w:t>
            </w:r>
            <w:r>
              <w:rPr>
                <w:szCs w:val="24"/>
              </w:rPr>
              <w:br/>
              <w:t>и воспитанников общеобразовательных учреждений старше 10 лет железнодорожным транспортом общего пользования</w:t>
            </w:r>
            <w:r>
              <w:rPr>
                <w:szCs w:val="24"/>
              </w:rPr>
              <w:br/>
              <w:t>в общих и плацкартных вагонах</w:t>
            </w:r>
            <w:r>
              <w:rPr>
                <w:szCs w:val="24"/>
              </w:rPr>
              <w:br/>
              <w:t>в поездах дальнего следования</w:t>
            </w:r>
            <w:r>
              <w:rPr>
                <w:szCs w:val="24"/>
              </w:rPr>
              <w:br/>
              <w:t>всех категорий, в объеме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lastRenderedPageBreak/>
              <w:t>1,65 млрд. рублей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Мероприятие 2.1.4.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 акционерному обществу Транспортная компания «Гранд Сервис Экспресс» на компенсацию потерь в доходах, возникающих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результате установления льгот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тарифам на перевозку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воспитанников общеобразовательных учреждений старше 10 лет железнодорожным транспортом общего пользования в общих и плацкартных вагонах в поездах дальнего следования всех категорий в летний период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территории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города федерального значения Севастополя и в обратном направлении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Федорчук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Соисполнитель:</w:t>
            </w:r>
          </w:p>
          <w:p w:rsidR="00F6158C" w:rsidRDefault="0031438E" w:rsidP="001509AD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И.Ю. Коваль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Default0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Предоставлена субсидия акционерному обществу Транспортная компания «Гранд Сервис Экспресс» на компенсацию потерь в доходах, возникающих</w:t>
            </w:r>
            <w:r>
              <w:rPr>
                <w:szCs w:val="24"/>
              </w:rPr>
              <w:br/>
              <w:t>в результате установления льгот</w:t>
            </w:r>
            <w:r>
              <w:rPr>
                <w:szCs w:val="24"/>
              </w:rPr>
              <w:br/>
              <w:t>по тарифам на перевозку обучающихся и воспитанников общеобразовательных учреждений старше 10 лет железнодорожным транспортом общего пользования</w:t>
            </w:r>
            <w:r>
              <w:rPr>
                <w:szCs w:val="24"/>
              </w:rPr>
              <w:br/>
              <w:t>в общих и плацкартных вагонах</w:t>
            </w:r>
            <w:r>
              <w:rPr>
                <w:szCs w:val="24"/>
              </w:rPr>
              <w:br/>
              <w:t>в поездах дальнего следования всех категорий в летний период</w:t>
            </w:r>
            <w:r>
              <w:rPr>
                <w:szCs w:val="24"/>
              </w:rPr>
              <w:br/>
              <w:t>на территории Республики Крым</w:t>
            </w:r>
            <w:r>
              <w:rPr>
                <w:szCs w:val="24"/>
              </w:rPr>
              <w:br/>
              <w:t>и города федерального значения Севастополя и в обратном направлении, в объеме</w:t>
            </w:r>
            <w:r>
              <w:rPr>
                <w:szCs w:val="24"/>
              </w:rPr>
              <w:br/>
              <w:t>0,18 млрд. рублей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2.1.5.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организациям железнодорожного транспорта на компенсацию потерь в доходах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выравнивания тарифов при перевозке пассажиров из (в) Калининградской области в (из) другие регионы Российской Федерации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Федорчук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Соисполнитель: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И.Ю. Коваль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Default0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1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3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Предоставлены субсидии организациям железнодорожного транспорта на компенсацию потерь в доходах от выравнивания </w:t>
            </w:r>
            <w:r>
              <w:rPr>
                <w:szCs w:val="24"/>
              </w:rPr>
              <w:lastRenderedPageBreak/>
              <w:t>тарифов при перевозке пассажиров из (в) Калининградской области</w:t>
            </w:r>
            <w:r>
              <w:rPr>
                <w:szCs w:val="24"/>
              </w:rPr>
              <w:br/>
              <w:t>в (из) другие регионы Российской Федерации в объеме</w:t>
            </w:r>
            <w:r>
              <w:rPr>
                <w:szCs w:val="24"/>
              </w:rPr>
              <w:br/>
              <w:t>0,75 млрд. рублей</w:t>
            </w:r>
          </w:p>
        </w:tc>
        <w:tc>
          <w:tcPr>
            <w:tcW w:w="2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Мероприятие 2.1.6.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 открытому акционерному обществу «Российские железные дороги» и федеральному государственному унитарному предприятию «Крымская железная дорога» на компенсацию потерь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доходах, возникающих в результате государственного регулирования тарифов на услуги по использованию инфраструктуры железнодорожного транспорта общего пользования, оказываемые при осуществлении перевозок пассажиров в пригородном сообщении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Федорчук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Соисполнитель: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И.Ю. Коваль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Предоставлены субсидии</w:t>
            </w:r>
            <w:r>
              <w:rPr>
                <w:szCs w:val="24"/>
              </w:rPr>
              <w:br/>
              <w:t>на компенсацию потерь в доходах, возникающих в результате государственного регулирования тарифов на услуги</w:t>
            </w:r>
            <w:r>
              <w:rPr>
                <w:szCs w:val="24"/>
              </w:rPr>
              <w:br/>
              <w:t>по использованию инфраструктуры железнодорожного транспорта общего пользования, оказываемые при осуществлении перевозок пассажиров в пригородном сообщении, в объеме</w:t>
            </w:r>
            <w:r>
              <w:rPr>
                <w:szCs w:val="24"/>
              </w:rPr>
              <w:br/>
              <w:t>36,22 млрд. рублей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2.1.7.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A92398">
              <w:rPr>
                <w:rFonts w:ascii="Times New Roman" w:hAnsi="Times New Roman"/>
                <w:sz w:val="24"/>
                <w:szCs w:val="24"/>
              </w:rPr>
              <w:t>субсидий организациям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компенсацию части потерь в доходах,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возникающих в результате предоставления гражданам государственной социальной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виде бесплатного проезда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железнодорожном транспорте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пригородном сообщении при условии ведения персонифицированного учета поездок</w:t>
            </w:r>
          </w:p>
          <w:p w:rsidR="001509AD" w:rsidRDefault="001509AD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Федорчук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Соисполнитель: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И.Ю. Коваль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 w:rsidP="001509AD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Предоставлены субсидии организациям железнодорожного транспорта на компенсацию части потерь в доходах, возникающих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результате предоставления гражданам государственной социальной услуги в виде бесплатного проезда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железнодорожном транспорте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пригородном сообщении</w:t>
            </w:r>
            <w:r w:rsidR="001509A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условии ведения персонифицированного учета поездок, в объеме</w:t>
            </w:r>
            <w:r w:rsidR="001509AD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1,06 млрд. рублей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Мероприятие 2.1.8.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федерального </w:t>
            </w:r>
            <w:r w:rsidR="00A92398">
              <w:rPr>
                <w:rFonts w:ascii="Times New Roman" w:hAnsi="Times New Roman"/>
                <w:sz w:val="24"/>
                <w:szCs w:val="24"/>
              </w:rPr>
              <w:t>бюджета федеральному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государственному унитарному предприятию «Крымская железная дорога»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Федорчук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Соисполнитель: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И.Ю. Коваль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Предоставлена субсидия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 федерального </w:t>
            </w:r>
            <w:r w:rsidR="00A92398">
              <w:rPr>
                <w:rFonts w:ascii="Times New Roman" w:hAnsi="Times New Roman"/>
                <w:sz w:val="24"/>
                <w:szCs w:val="24"/>
              </w:rPr>
              <w:t>бюджета федеральному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государственному унитарному предприятию «Крымская железная </w:t>
            </w:r>
            <w:r w:rsidR="00A92398">
              <w:rPr>
                <w:rFonts w:ascii="Times New Roman" w:hAnsi="Times New Roman"/>
                <w:sz w:val="24"/>
                <w:szCs w:val="24"/>
              </w:rPr>
              <w:t>дорога»</w:t>
            </w:r>
            <w:r w:rsidR="001509A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9239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объеме 6,52 млрд. рублей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A92398">
        <w:trPr>
          <w:trHeight w:val="690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(блок мероприятий) 2.2. Обеспечение потребности в перевозках пассажиров воздушным транспортом</w:t>
            </w:r>
          </w:p>
        </w:tc>
      </w:tr>
      <w:tr w:rsidR="00F6158C" w:rsidTr="000D1838">
        <w:trPr>
          <w:trHeight w:val="818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8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2.2.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Авиационная подвижность населения, полетов </w:t>
            </w:r>
            <w:r>
              <w:rPr>
                <w:szCs w:val="24"/>
              </w:rPr>
              <w:br/>
              <w:t>на 1 человека в год</w:t>
            </w:r>
          </w:p>
          <w:p w:rsidR="00C80D1E" w:rsidRDefault="00C80D1E">
            <w:pPr>
              <w:widowControl w:val="0"/>
              <w:ind w:left="720"/>
              <w:jc w:val="both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0,57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8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Индикатор направления (блока мероприятий) 2.2.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Объем пассажирских перевозок по маршрутам, минуя г. Москву, млн. пассажиров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13,65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8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2.2.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субсидированных региональных регулярных авиационных рейсов (выполняемых</w:t>
            </w:r>
            <w:r>
              <w:rPr>
                <w:szCs w:val="24"/>
              </w:rPr>
              <w:br/>
              <w:t>не менее, чем по 175 маршрутам внутренних воздушных линий), единиц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bookmarkStart w:id="4" w:name="_Hlk63687625"/>
            <w:r>
              <w:rPr>
                <w:szCs w:val="24"/>
              </w:rPr>
              <w:t>4</w:t>
            </w:r>
            <w:bookmarkEnd w:id="4"/>
            <w:r>
              <w:rPr>
                <w:szCs w:val="24"/>
              </w:rPr>
              <w:t>6445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47213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8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2.2.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Доля межрегиональных регулярных пассажирских авиационных рейсов (маршрутов), минуя г. </w:t>
            </w:r>
            <w:r w:rsidR="00A92398">
              <w:rPr>
                <w:szCs w:val="24"/>
              </w:rPr>
              <w:t>Москву, в</w:t>
            </w:r>
            <w:r>
              <w:rPr>
                <w:szCs w:val="24"/>
              </w:rPr>
              <w:t xml:space="preserve"> общем количестве внутренних регулярных маршрутов, %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2770"/>
        </w:trPr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2.2.1.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Программы субсидирования перевозок в целях обеспечения доступности воздушных перевозок населению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>С.А. Петрова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Нерадько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Default0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Предоставлены субсидии для обеспечения доступности воздушных перевозок пассажиров: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Дальнего Востока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г. Калининграда в европейскую часть страны и в обратном направлении;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г. Симферополь и в обратном направлении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2.2.2.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Программы субсидирования региональных воздушных перевозок пассажиров на территории Российской Федерации и формирование региональной маршрутной сети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Ответственный исполнитель: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>С.А. Петрова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Нерадько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Default0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Предоставлены субсидии для обеспечения </w:t>
            </w:r>
            <w:r w:rsidR="00A92398">
              <w:rPr>
                <w:rFonts w:ascii="Times New Roman" w:hAnsi="Times New Roman"/>
                <w:sz w:val="24"/>
                <w:szCs w:val="24"/>
              </w:rPr>
              <w:t>развития региональных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воздушных перевозок на территории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формирования региональной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маршрутной сети Российской Федерации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594"/>
        </w:trPr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2.2.3.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мер государственной поддержки аэропортам, расположенным в районах Крайнего Севера</w:t>
            </w:r>
            <w:r>
              <w:rPr>
                <w:szCs w:val="24"/>
              </w:rPr>
              <w:br/>
              <w:t>и приравненных к ним местностях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>С.А. Петрова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Нерадько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Предоставлены субсидии для обеспечения</w:t>
            </w:r>
            <w:r>
              <w:rPr>
                <w:rFonts w:ascii="Times New Roman" w:hAnsi="Times New Roman"/>
                <w:color w:val="C921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аэропортов, расположенных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районах Крайнего Севера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приравненных к ним местностях, не включенных в состав федеральных казенных предприятий.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Осуществлено 1,52 тыс.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самолето-вылетов из аэропортов, расположенных в районах Крайнего Севера и приравненных к ним местностях, охваченных государственной поддержкой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2.2.4.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мер государственной поддержки федеральным казенным предприятиям, расположенным в районах Крайнего Севера и приравненных к ним местностях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>С.А. Петрова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Нерадько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Предоставлены субсидии для обеспечения</w:t>
            </w:r>
            <w:r>
              <w:rPr>
                <w:rFonts w:ascii="Times New Roman" w:hAnsi="Times New Roman"/>
                <w:color w:val="C921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аэропортов, расположенных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районах Крайнего Севера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приравненных к ним местностях, включенных в состав федеральных казенных предприятий.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Осуществлено 38,98 тыс.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самолето-вылетов из аэропортов, входящих в состав федеральных казенных предприятий</w:t>
            </w:r>
          </w:p>
          <w:p w:rsidR="00C80D1E" w:rsidRDefault="00C80D1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8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Индикатор направления (блока мероприятий) 2.2.</w:t>
            </w:r>
          </w:p>
          <w:p w:rsidR="00F6158C" w:rsidRDefault="0031438E">
            <w:pPr>
              <w:widowControl w:val="0"/>
              <w:ind w:left="743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введенных в эксплуатацию после реконструкции (строительства) взлетно-посадочных полос, единиц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не достигло планового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8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2.2.</w:t>
            </w:r>
          </w:p>
          <w:p w:rsidR="00F6158C" w:rsidRDefault="0031438E">
            <w:pPr>
              <w:widowControl w:val="0"/>
              <w:ind w:left="743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реконструированных (построенных) вспомогательных объектов аэропортовой инфраструктуры, единиц</w:t>
            </w:r>
          </w:p>
          <w:p w:rsidR="001509AD" w:rsidRDefault="001509AD">
            <w:pPr>
              <w:widowControl w:val="0"/>
              <w:ind w:left="743"/>
              <w:jc w:val="both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2.2.5.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инвестиционных проектов по развитию инфраструктуры аэропортов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>С.А. Петрова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Нерадько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</w:t>
            </w:r>
            <w:r>
              <w:rPr>
                <w:szCs w:val="24"/>
              </w:rPr>
              <w:br/>
              <w:t>с контрольными точками реализации ФП 7, ФП 17, ВП 2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Введены в эксплуатацию взлетно-посадочные полосы в аэропорту Зея (разрешение на ввод в эксплуатацию от 19 января 2021 г. № 28-13-611-2020/ФАВТ-04),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аэропорту Бомнак (разрешение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ввод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21 июля 2021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28-13-158-2016/ФАВТ-04),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аэропорту Челябинск (разрешение на ввод в эксплуатацию от 11 февраля 2021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74-36-406-2018/ФАВТ-04),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аэропорту Нерюнги (разрешение на ввод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27 октября 2021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14-19-654-2021/ФАВТ-04),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аэропорту Олекминск (разрешение на ввод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18 октября 2021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14-23-657-2021/ФАВТ-04),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аэропорту Жиганск (разрешение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ввод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19 ноября 2021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14-12-439-2018/ФАВТ-04).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введена взлетно-посадочная полоса в аэропорту Великий </w:t>
            </w:r>
            <w:r w:rsidR="00A92398">
              <w:rPr>
                <w:rFonts w:ascii="Times New Roman" w:hAnsi="Times New Roman"/>
                <w:sz w:val="24"/>
                <w:szCs w:val="24"/>
              </w:rPr>
              <w:t>Устюг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причине неустранения замечаний Ростехнадзора правительством Вологодской области. Срок ввода объекта перенесен на июнь 2022 г.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Введены в эксплуатацию вспомогательные объекты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аэропорту Верхневилюйск (разрешение на ввод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эксплуатацию от 4 марта 2021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14-07-441-2018/ФАВТ-04),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аэропорту Красноярск (разрешение на ввод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19 августа 2021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24-11-513-2019/ФАВТ-04),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аэропорту Екатеринбург (разрешение на ввод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28 декабря 2021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66-41-669-2021/ФАВТ-04),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аэропорту Шереметьево-1 (разрешение на ввод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17 сентября 2021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50-10-590-2020/ФАВТ-04)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A92398">
        <w:trPr>
          <w:trHeight w:val="780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83E" w:rsidRDefault="00C9183E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(блок мероприятий) 2.4. Обеспечение возможности перевозки пассажиров в прямом смешанном сообщении на территориях субъектов Российской Федерации</w:t>
            </w:r>
          </w:p>
          <w:p w:rsidR="00C9183E" w:rsidRDefault="00C9183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870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9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2.4.</w:t>
            </w:r>
          </w:p>
          <w:p w:rsidR="00F6158C" w:rsidRDefault="0031438E">
            <w:pPr>
              <w:widowControl w:val="0"/>
              <w:ind w:left="68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возможности перевозки пассажиров в прямом смешанном сообщении на территориях субъектов Российской Федерации, количество маршрутов</w:t>
            </w:r>
          </w:p>
          <w:p w:rsidR="00C9183E" w:rsidRDefault="00C9183E">
            <w:pPr>
              <w:widowControl w:val="0"/>
              <w:ind w:left="680"/>
              <w:jc w:val="both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2.4.1.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мер государственной поддержки на организацию перевозок пассажиров в прямом смешанном сообщении на территориях субъектов Российской Федерации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>А.С. Бакирей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К.С. Угаров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возможность перевозки пассажиров по 36 маршрутам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прямом смешанном сообщении на территориях субъектов Российской Федерации,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5 маршрутам с территории субъекта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территорию Республики Абхазия и в обратном направлении. Предоставлены ежеквартальные отчеты об организации перевозок пассажиров в прямом смешанном сообщении</w:t>
            </w:r>
          </w:p>
          <w:p w:rsidR="00C72242" w:rsidRDefault="00C72242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83E" w:rsidRDefault="00C9183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83E" w:rsidRDefault="00C9183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83E" w:rsidRDefault="00C9183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83E" w:rsidRDefault="00C9183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83E" w:rsidRDefault="00C9183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83E" w:rsidRDefault="00C9183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83E" w:rsidRDefault="00C9183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A92398">
        <w:trPr>
          <w:trHeight w:val="1520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3. Повышение конкурентоспособности транспортной системы России на мировом рынке транспортных услуг и рост экспорта услуг транспортного комплекса до 20,5 млрд. долларов США.</w:t>
            </w:r>
            <w:bookmarkStart w:id="5" w:name="_Hlk63692592"/>
            <w:bookmarkEnd w:id="5"/>
          </w:p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исполнители: первый заместитель Министра транспорта Российской Федерации А.А. Костюк</w:t>
            </w:r>
          </w:p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Министра транспорта Российской Федерации А.И. Пошивай</w:t>
            </w:r>
          </w:p>
        </w:tc>
      </w:tr>
      <w:tr w:rsidR="00F6158C" w:rsidTr="00A92398">
        <w:trPr>
          <w:trHeight w:val="1004"/>
        </w:trPr>
        <w:tc>
          <w:tcPr>
            <w:tcW w:w="1517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(блок мероприятий) 3.1. Повышение конкурентоспособности международных транспортных коридоров и комплексное развитие крупных транспортных узлов</w:t>
            </w:r>
          </w:p>
        </w:tc>
      </w:tr>
      <w:tr w:rsidR="00F6158C" w:rsidTr="000D1838">
        <w:tc>
          <w:tcPr>
            <w:tcW w:w="651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3.1.</w:t>
            </w:r>
          </w:p>
          <w:p w:rsidR="00F6158C" w:rsidRDefault="0031438E">
            <w:pPr>
              <w:widowControl w:val="0"/>
              <w:ind w:left="720"/>
              <w:rPr>
                <w:szCs w:val="24"/>
              </w:rPr>
            </w:pPr>
            <w:r>
              <w:rPr>
                <w:szCs w:val="24"/>
              </w:rPr>
              <w:t>Пополнение флота, единиц</w:t>
            </w:r>
          </w:p>
        </w:tc>
        <w:tc>
          <w:tcPr>
            <w:tcW w:w="12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не достигло планового.</w:t>
            </w:r>
          </w:p>
          <w:p w:rsidR="00F6158C" w:rsidRDefault="0031438E">
            <w:pPr>
              <w:pStyle w:val="ConsPlusNormal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Недостижение целевого значения обусловлено срывом срока реализации мероприятия «Лоцмейстерское судно ледового класса Ice3 проекта BLV03»</w:t>
            </w:r>
          </w:p>
          <w:p w:rsidR="00F6158C" w:rsidRDefault="00F6158C">
            <w:pPr>
              <w:pStyle w:val="ConsPlusNormal0"/>
              <w:ind w:left="57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widowControl w:val="0"/>
              <w:rPr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 3.1.2.</w:t>
            </w:r>
          </w:p>
          <w:p w:rsidR="00F6158C" w:rsidRDefault="0031438E">
            <w:pPr>
              <w:widowControl w:val="0"/>
              <w:ind w:left="57"/>
              <w:rPr>
                <w:szCs w:val="24"/>
              </w:rPr>
            </w:pPr>
            <w:r>
              <w:rPr>
                <w:szCs w:val="24"/>
              </w:rPr>
              <w:t>Строительство лоцмейстерских судов</w:t>
            </w:r>
            <w:r>
              <w:rPr>
                <w:b/>
                <w:szCs w:val="24"/>
              </w:rPr>
              <w:t xml:space="preserve"> Ответственный исполнитель:</w:t>
            </w:r>
          </w:p>
          <w:p w:rsidR="00F6158C" w:rsidRDefault="0031438E">
            <w:pPr>
              <w:widowControl w:val="0"/>
              <w:ind w:left="57"/>
              <w:rPr>
                <w:szCs w:val="24"/>
              </w:rPr>
            </w:pPr>
            <w:r>
              <w:rPr>
                <w:szCs w:val="24"/>
              </w:rPr>
              <w:t>В.В. Клюев</w:t>
            </w:r>
          </w:p>
          <w:p w:rsidR="00F6158C" w:rsidRDefault="0031438E">
            <w:pPr>
              <w:widowControl w:val="0"/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ind w:left="57"/>
              <w:rPr>
                <w:szCs w:val="24"/>
              </w:rPr>
            </w:pPr>
            <w:r>
              <w:rPr>
                <w:szCs w:val="24"/>
              </w:rPr>
              <w:t>З.Т. Джиоев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ind w:left="57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</w:t>
            </w:r>
            <w:r>
              <w:rPr>
                <w:szCs w:val="24"/>
              </w:rPr>
              <w:br/>
              <w:t>с контрольными точками реализации</w:t>
            </w:r>
            <w:r>
              <w:rPr>
                <w:szCs w:val="24"/>
              </w:rPr>
              <w:br/>
              <w:t>ФП 3, ФП 15, ФП 33</w:t>
            </w:r>
          </w:p>
        </w:tc>
        <w:tc>
          <w:tcPr>
            <w:tcW w:w="12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 квартал 2022 г.</w:t>
            </w:r>
          </w:p>
        </w:tc>
        <w:tc>
          <w:tcPr>
            <w:tcW w:w="38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ind w:left="57"/>
              <w:jc w:val="both"/>
              <w:rPr>
                <w:szCs w:val="24"/>
              </w:rPr>
            </w:pPr>
            <w:r>
              <w:rPr>
                <w:szCs w:val="24"/>
              </w:rPr>
              <w:t>Завершение реализации мероприятия «Лоцмейстерское судно ледового класса Ice3 проекта BLV03» планируется</w:t>
            </w:r>
            <w:r>
              <w:rPr>
                <w:szCs w:val="24"/>
              </w:rPr>
              <w:br/>
              <w:t>в срок до 31 марта 2022 г.</w:t>
            </w:r>
            <w:r>
              <w:rPr>
                <w:szCs w:val="24"/>
              </w:rPr>
              <w:br/>
              <w:t>по причине ограничений, вызванных пандемией коронавирусной инфекции</w:t>
            </w:r>
            <w:r>
              <w:rPr>
                <w:szCs w:val="24"/>
              </w:rPr>
              <w:br/>
              <w:t>COVID-2019, и действующих санкций в отношении</w:t>
            </w:r>
            <w:r>
              <w:rPr>
                <w:szCs w:val="24"/>
              </w:rPr>
              <w:br/>
              <w:t>АО «Зеленодольский завод</w:t>
            </w:r>
            <w:r>
              <w:rPr>
                <w:szCs w:val="24"/>
              </w:rPr>
              <w:br/>
              <w:t xml:space="preserve">им. Горького», находящегося в санкционном списке США. Данное </w:t>
            </w:r>
            <w:r>
              <w:rPr>
                <w:szCs w:val="24"/>
              </w:rPr>
              <w:lastRenderedPageBreak/>
              <w:t>обстоятельство наряду</w:t>
            </w:r>
            <w:r>
              <w:rPr>
                <w:szCs w:val="24"/>
              </w:rPr>
              <w:br/>
              <w:t>с временной приостановкой деятельности производителя двигателей в период пандемии привело к задержке выполнения платежных этапов «Монтаж главных двигателей и насосов</w:t>
            </w:r>
            <w:r>
              <w:rPr>
                <w:szCs w:val="24"/>
              </w:rPr>
              <w:br/>
              <w:t>в машинном отделении первого Судна», «Монтаж главных двигателей и насосов в машинном отделении второго Судна» и, как следствие, переносу сроков проведения ходовых испытаний судов</w:t>
            </w:r>
          </w:p>
          <w:p w:rsidR="00F6158C" w:rsidRDefault="00F6158C" w:rsidP="00C246FE">
            <w:pPr>
              <w:widowControl w:val="0"/>
              <w:jc w:val="both"/>
              <w:rPr>
                <w:sz w:val="12"/>
                <w:szCs w:val="12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widowControl w:val="0"/>
              <w:ind w:left="57"/>
              <w:rPr>
                <w:szCs w:val="24"/>
              </w:rPr>
            </w:pPr>
          </w:p>
        </w:tc>
      </w:tr>
      <w:tr w:rsidR="00F6158C" w:rsidTr="00A92398">
        <w:tc>
          <w:tcPr>
            <w:tcW w:w="1517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E" w:rsidRDefault="00C9183E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(блок мероприятий) 3.2. Развитие инфраструктуры морского транспорта</w:t>
            </w:r>
          </w:p>
          <w:p w:rsidR="00C9183E" w:rsidRDefault="00C9183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3.2.</w:t>
            </w:r>
          </w:p>
          <w:p w:rsidR="00F6158C" w:rsidRDefault="0031438E">
            <w:pPr>
              <w:widowControl w:val="0"/>
              <w:ind w:left="720"/>
              <w:rPr>
                <w:szCs w:val="24"/>
              </w:rPr>
            </w:pPr>
            <w:r>
              <w:rPr>
                <w:szCs w:val="24"/>
              </w:rPr>
              <w:t>Прирост производственной мощности морских портов, млн тонн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40,3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не достигло планового.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Недостижение показателя обусловлено невводом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эксплуатацию объекта «Таманский терминал навалочных грузов» ввиду замечаний Ростехнадзора и Росприроднадзора, что не позволило своевременно получить разрешительную документацию и требовало проведения повторных проверок.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Акты проверок Ростехнадзора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Росприроднадзора получены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декабря 2021 г. В январе 2022 г. получено заключение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 соответствии объекта. Прирост производственной мощности составит 25 млн. тонн</w:t>
            </w:r>
          </w:p>
          <w:p w:rsidR="00C246FE" w:rsidRDefault="00C246F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3.2.1.</w:t>
            </w:r>
          </w:p>
          <w:p w:rsidR="00F6158C" w:rsidRDefault="0031438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Реализация инвестиционных проектов</w:t>
            </w:r>
            <w:r w:rsidR="00A92398" w:rsidRPr="00A92398">
              <w:rPr>
                <w:szCs w:val="24"/>
              </w:rPr>
              <w:t xml:space="preserve"> </w:t>
            </w:r>
            <w:r w:rsidR="00A92398">
              <w:rPr>
                <w:szCs w:val="24"/>
              </w:rPr>
              <w:t>по </w:t>
            </w:r>
            <w:r>
              <w:rPr>
                <w:szCs w:val="24"/>
              </w:rPr>
              <w:t>развитию морских российских портов</w:t>
            </w:r>
          </w:p>
          <w:p w:rsidR="00A92398" w:rsidRDefault="0031438E">
            <w:pPr>
              <w:widowControl w:val="0"/>
              <w:rPr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  <w:r>
              <w:rPr>
                <w:szCs w:val="24"/>
              </w:rPr>
              <w:t xml:space="preserve"> </w:t>
            </w:r>
          </w:p>
          <w:p w:rsidR="00F6158C" w:rsidRDefault="0031438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В.В. Клюев</w:t>
            </w:r>
          </w:p>
          <w:p w:rsidR="00F6158C" w:rsidRDefault="0031438E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З.Т. Джиоев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</w:t>
            </w:r>
            <w:r>
              <w:rPr>
                <w:szCs w:val="24"/>
              </w:rPr>
              <w:br/>
              <w:t>с контрольными точками реализации ФП 2, ФП 15, ФП 33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квартал 2022 г.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году паспортом федерального проекта предусмотрено достижение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контрольных точек, из них своевременно достигнуты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контрольных точек, в том числе: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«Заключен контракт на СМР: Строительство морского перегрузочного комплекса СПГ в Мурманской области, в том числе объектов федеральной собственности (объекты безопасности мореплавания)»;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«Заключен контракт на СМР: Комплексное развитие Мурманского транспортного узла. Комплекс перегрузки угля «Лавна»;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«Заключен контракт на СМР: Ледокол мощностью 18 МВт ледового класса Icebreaker 7 для морских портов Северо-Западного (Балтийского) бассейна»;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«Объект введен в эксплуатацию: Строительство объектов портовой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в морском порту Усть-Луга»;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«Объект введен в эксплуатацию: Реконструкция объектов федеральной собственности в морском порту Певек, Чукотский автономный округ»;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«Объект введен в эксплуатацию: Реконструкция гидротехнических сооружений: причала № 34, причала № 35, подходного канала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причалам № 31−35, акватории причала № 34, акватории причала № 35 в морском порту Восточный»;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«Объект введен в эксплуатацию: Реконструкция зернового терминала АО «КСК» в морском порту Новороссийск».</w:t>
            </w:r>
          </w:p>
          <w:p w:rsidR="00C72242" w:rsidRPr="001509AD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контрольной точки «Объект введен в эксплуатацию: Таманский терминал навалочных грузов в морском порту Тамань» осуществлено 26 января 2022 г.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A92398">
        <w:trPr>
          <w:trHeight w:val="944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(блок мероприятий) 3.3. Обустройство и обеспечение функционирования пунктов пропуска через государственную границу Российской Федерации</w:t>
            </w:r>
          </w:p>
        </w:tc>
      </w:tr>
      <w:tr w:rsidR="00F6158C" w:rsidTr="000D1838">
        <w:trPr>
          <w:trHeight w:val="320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1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3.3.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Увеличение пропускной способности пунктов пропуска, в том числе по видам международного сообщения, тыс. транспортных средств в год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4002,1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4002,1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310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Индикатор направления (блока мероприятий) 3.3.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Увеличение пропускной способности морских пунктов пропуска, тыс. транспортных средств в год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4,7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3.3.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Увеличение пропускной способности железнодорожных пунктов пропуска, тыс. транспортных средств в год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14,2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3.3.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Увеличение пропускной способности автомобильных пунктов пропуска, тыс. транспортных средств в год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3983,2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3983,2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955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3.3.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Открытие после завершения реконструкции (строительства, технического перевооружения) пунктов пропуска через государственную границу Российской Федерации, единиц</w:t>
            </w:r>
          </w:p>
          <w:p w:rsidR="00F6158C" w:rsidRDefault="00F6158C">
            <w:pPr>
              <w:widowControl w:val="0"/>
              <w:ind w:left="720"/>
              <w:jc w:val="both"/>
              <w:rPr>
                <w:sz w:val="16"/>
                <w:szCs w:val="16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3.3.1.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открытия после завершения реконструкции (строительства, технического перевооружения) пунктов пропуска через государственную границу Российской Федерации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М.А. Кокаев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К.Г. Лазарев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Открыты после завершения реконструкции (строительства, технического перевооружения) пункты пропуска через государственную границу Российской Федерации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приказами Минтранса России в 2021 году открыты после завершения строительства,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технического перевооружения следующие пункты пропуска: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воздушный пункт пропуска Челябинск (Баландино) (Челябинская область) (приказ Минтранса России от 21 апреля 2021 г. № 133, зарегистрирован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Минюсте России 31 мая 2021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63705);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морской пункт пропуска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Пассажирский порт Санкт-Петербург (г. Санкт-Петербург) (приказ Минтранса России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24 мая 2021 г. № 166, зарегистрирован в Минюсте России 7 июня 2021 г. № 63810);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автомобильный пункт пропуска Кяхта (Республика Бурятия) (приказ Минтранса России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25 августа 2021 г. № 288, зарегистрирован в Минюсте России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 2021 г. № 64935);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воздушный пункт пропуска Махачкала (Уйташ) (Республика Дагестан) (приказ Минтранса России от 7 сентября 2021 г. № 302, зарегистрирован в Минюсте России 23 декабря 2021 г. № 66508);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морской пункт пропуска Туапсе (Краснодарский край) в границах реконструированного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АО «Туапсинский морской торговый порт» и Туапсинского балкерного терминала «Еврохим» (приказ Минтранса России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29 сентября 2021 г. № 330, зарегистрирован в Минюсте России 8 ноября 2021 г. № 65717);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морской пункт пропуска Кавказ (Краснодарский край) в границах территории универсального терминала ООО «ВЕРП» (приказ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Минтранса России от 7 декабря 2021 г. № 433, зарегистрирован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Минюсте России 20 января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2022 г. № 66937).</w:t>
            </w:r>
          </w:p>
          <w:p w:rsidR="00F6158C" w:rsidRDefault="0031438E" w:rsidP="001509AD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2021 году завершена модернизация 10 пунктов пропуска, из них 5 – за счет средств федерального бюджета, 5 – за счет внебюджетных источников финансирования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3.3.2.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функционирования пунктов пропуска через государственную границу Российской Федерации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М.А. Кокаев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К.Г. Лазарев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Бесперебойное функционирование пунктов пропуска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I–IV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течение 2021 года обеспечивалось бесперебойное функционирование 313 пунктов пропуска.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указанного мероприятия обеспечило: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создание благоприятных условий</w:t>
            </w:r>
            <w:r>
              <w:rPr>
                <w:szCs w:val="24"/>
              </w:rPr>
              <w:br/>
              <w:t>в пунктах пропуска для обеспечения внешнеэкономической деятельности, пересечения государственной границы Российской Федерации физическими лицами</w:t>
            </w:r>
            <w:r>
              <w:rPr>
                <w:szCs w:val="24"/>
              </w:rPr>
              <w:br/>
              <w:t>и перемещения через государственную границу Российской Федерации грузов и</w:t>
            </w:r>
            <w:r>
              <w:rPr>
                <w:szCs w:val="24"/>
              </w:rPr>
              <w:br/>
              <w:t>товаров, а также создание условий для эффективного развития пунктов пропуска в условиях интеграционных процессов, в том числе в рамках Евразийского экономического союза;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совершенствование системы пунктов пропуска</w:t>
            </w:r>
            <w:r>
              <w:rPr>
                <w:szCs w:val="24"/>
              </w:rPr>
              <w:br/>
              <w:t>в зависимости от темпов социально-экономического развития Российской Федерации</w:t>
            </w:r>
            <w:r>
              <w:rPr>
                <w:szCs w:val="24"/>
              </w:rPr>
              <w:br/>
              <w:t>и потребностей экономики;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совершенствование администрирования пунктов пропуска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3.3.3.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Внедрение электронного документооборота при перевозке грузов по международным транспортным коридорам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Д.А. Поплаухин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Внедрен электронный документооборот при перевозке грузов по международным транспортным коридорам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2021 году разработана концепция и начаты работы </w:t>
            </w:r>
            <w:r w:rsidR="00A92398">
              <w:rPr>
                <w:szCs w:val="24"/>
              </w:rPr>
              <w:t>по созданию</w:t>
            </w:r>
            <w:r>
              <w:rPr>
                <w:szCs w:val="24"/>
              </w:rPr>
              <w:t xml:space="preserve"> государственной информационной системы электронных перевозочных </w:t>
            </w:r>
            <w:r w:rsidR="00A92398">
              <w:rPr>
                <w:szCs w:val="24"/>
              </w:rPr>
              <w:t>документов (</w:t>
            </w:r>
            <w:r>
              <w:rPr>
                <w:szCs w:val="24"/>
              </w:rPr>
              <w:t>ГИС ЭПД) (1-я очередь). В рамках развития функциональности</w:t>
            </w:r>
            <w:r>
              <w:rPr>
                <w:szCs w:val="24"/>
              </w:rPr>
              <w:br/>
              <w:t>ГИС ЭПД реализация блока оформления и сопровождения воздушных грузовых перевозок планируется в 2023 году</w:t>
            </w:r>
          </w:p>
          <w:p w:rsidR="00C72242" w:rsidRDefault="00C72242">
            <w:pPr>
              <w:widowControl w:val="0"/>
              <w:contextualSpacing/>
              <w:jc w:val="both"/>
              <w:rPr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A92398"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(блок мероприятий) 3.4. Интеграция в мировое транспортное пространство и реализация транзитного потенциала страны в области автомобильного транспорта</w:t>
            </w: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2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3.4.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Повышение доли участия российских перевозчиков </w:t>
            </w:r>
            <w:r>
              <w:rPr>
                <w:szCs w:val="24"/>
              </w:rPr>
              <w:br/>
              <w:t>в объеме международных автомобильных перевозок грузов, %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не достигло планового.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по доле участия российских перевозчиков в объеме международных автомобильных перевозок грузов не был достигнут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2021 году из-за уменьшения общего объема международных автомобильных перевозок грузов России, который в 2021 году составил 34,3 млн. тонн и по сравнению с 2020 годом сократился на 1,7 %.</w:t>
            </w:r>
          </w:p>
          <w:p w:rsidR="00F6158C" w:rsidRDefault="0031438E" w:rsidP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Падение объемов международных автомобильных перевозок связано с вводимыми в различных странах ограничениями, связанными с распространением коронавирусной инфекции, в результате чего сокращение объемов международных автомобильных перевозок в отдельные периоды 2021 года по ряду направлений достигало 20 %, а на китайском превышало 50 %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3.4.1.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реализация законодательных и других нормативных актов, направленных на обеспечение конкурентоспособности российских перевозчиков в области международных автоперевозок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А.С. Бакирей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А.В. Проходцев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Совершенствование порядка контроля за осуществлением международных автомобильных перевозок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tabs>
                <w:tab w:val="left" w:pos="73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Подготовленный Минтрансом России законопроект № 1256984-7 «О внесении изменений в Кодекс Российской Федерации</w:t>
            </w:r>
            <w:r>
              <w:rPr>
                <w:szCs w:val="24"/>
              </w:rPr>
              <w:br/>
              <w:t xml:space="preserve">об административных правонарушениях» (о возможности задержания транспортного средства иностранного </w:t>
            </w:r>
            <w:r w:rsidR="00A92398">
              <w:rPr>
                <w:szCs w:val="24"/>
              </w:rPr>
              <w:t>перевозчика, не</w:t>
            </w:r>
            <w:r>
              <w:rPr>
                <w:szCs w:val="24"/>
              </w:rPr>
              <w:t xml:space="preserve"> уплатившего штрафы</w:t>
            </w:r>
            <w:r>
              <w:rPr>
                <w:szCs w:val="24"/>
              </w:rPr>
              <w:br/>
              <w:t xml:space="preserve">за правонарушения в сфере безопасности дорожного </w:t>
            </w:r>
            <w:r w:rsidR="00A92398">
              <w:rPr>
                <w:szCs w:val="24"/>
              </w:rPr>
              <w:t>движения) принят</w:t>
            </w:r>
            <w:r>
              <w:rPr>
                <w:szCs w:val="24"/>
              </w:rPr>
              <w:t xml:space="preserve"> в первом чтении Государственной Думой </w:t>
            </w:r>
            <w:r>
              <w:rPr>
                <w:szCs w:val="24"/>
              </w:rPr>
              <w:lastRenderedPageBreak/>
              <w:t>Федерального Собрания Российской Федерации (8 декабря 2021 г.).</w:t>
            </w:r>
          </w:p>
          <w:p w:rsidR="00F6158C" w:rsidRDefault="0031438E">
            <w:pPr>
              <w:widowControl w:val="0"/>
              <w:tabs>
                <w:tab w:val="left" w:pos="73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Изданы постановления Правительства Российской Федерации:</w:t>
            </w:r>
          </w:p>
          <w:p w:rsidR="00F6158C" w:rsidRDefault="0031438E">
            <w:pPr>
              <w:widowControl w:val="0"/>
              <w:tabs>
                <w:tab w:val="left" w:pos="73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от 29 июня 2021 г. № 1052</w:t>
            </w:r>
            <w:r>
              <w:rPr>
                <w:szCs w:val="24"/>
              </w:rPr>
              <w:br/>
              <w:t>«Об утверждении Правил осуществления государственного контроля (надзора)</w:t>
            </w:r>
            <w:r>
              <w:rPr>
                <w:szCs w:val="24"/>
              </w:rPr>
              <w:br/>
              <w:t>за осуществлением международных автомобильных перевозок</w:t>
            </w:r>
            <w:r>
              <w:rPr>
                <w:szCs w:val="24"/>
              </w:rPr>
              <w:br/>
              <w:t>в пунктах пропуска через государственную границу Российской Федерации», направленное на неукоснительное исполнение иностранными перевозчиками уплаты штрафов</w:t>
            </w:r>
            <w:r>
              <w:rPr>
                <w:szCs w:val="24"/>
              </w:rPr>
              <w:br/>
              <w:t>за нарушения, совершенные</w:t>
            </w:r>
            <w:r>
              <w:rPr>
                <w:szCs w:val="24"/>
              </w:rPr>
              <w:br/>
              <w:t>на территории  Российской Федерации, и наделяющее полномочиями должностных лиц таможенных органов по контролю за выполнением иностранными перевозчиками обязанности уплаты административных штрафов</w:t>
            </w:r>
            <w:r>
              <w:rPr>
                <w:szCs w:val="24"/>
              </w:rPr>
              <w:br/>
              <w:t>до выезда с территории Российской Федерации;</w:t>
            </w:r>
          </w:p>
          <w:p w:rsidR="00F6158C" w:rsidRDefault="0031438E">
            <w:pPr>
              <w:widowControl w:val="0"/>
              <w:tabs>
                <w:tab w:val="left" w:pos="73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от 28 августа 2021 г. № 1442</w:t>
            </w:r>
            <w:r>
              <w:rPr>
                <w:szCs w:val="24"/>
              </w:rPr>
              <w:br/>
              <w:t xml:space="preserve">«Об утверждении Правил информационного взаимодействия федерального органа </w:t>
            </w:r>
            <w:r>
              <w:rPr>
                <w:szCs w:val="24"/>
              </w:rPr>
              <w:lastRenderedPageBreak/>
              <w:t>исполнительной власти, уполномоченного в области таможенного дела, федерального органа исполнительной власти, осуществляющего функции</w:t>
            </w:r>
            <w:r>
              <w:rPr>
                <w:szCs w:val="24"/>
              </w:rPr>
              <w:br/>
              <w:t>по контролю (надзору) в сфере транспорта, и федерального органа исполнительной власти, уполномоченного осуществлять контрольные, надзорные</w:t>
            </w:r>
            <w:r>
              <w:rPr>
                <w:szCs w:val="24"/>
              </w:rPr>
              <w:br/>
              <w:t>и разрешительные функции</w:t>
            </w:r>
            <w:r>
              <w:rPr>
                <w:szCs w:val="24"/>
              </w:rPr>
              <w:br/>
              <w:t>в области обеспечения безопасности дорожного движения, осуществляемого в целях реализации положений пунктов</w:t>
            </w:r>
            <w:r>
              <w:rPr>
                <w:szCs w:val="24"/>
              </w:rPr>
              <w:br/>
              <w:t>4-4.5 статьи 11 Федерального закона «О государственном контроле за осуществлением международных автомобильных перевозок и об ответственности</w:t>
            </w:r>
            <w:r>
              <w:rPr>
                <w:szCs w:val="24"/>
              </w:rPr>
              <w:br/>
              <w:t>за нарушение порядка</w:t>
            </w:r>
            <w:r>
              <w:rPr>
                <w:szCs w:val="24"/>
              </w:rPr>
              <w:br/>
              <w:t>их выполнения»;</w:t>
            </w:r>
          </w:p>
          <w:p w:rsidR="00F6158C" w:rsidRDefault="0031438E">
            <w:pPr>
              <w:widowControl w:val="0"/>
              <w:tabs>
                <w:tab w:val="left" w:pos="73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от 29 июня 2021 г. № 1043</w:t>
            </w:r>
            <w:r>
              <w:rPr>
                <w:szCs w:val="24"/>
              </w:rPr>
              <w:br/>
              <w:t>«О федеральном государственном контроле (надзоре)</w:t>
            </w:r>
            <w:r>
              <w:rPr>
                <w:szCs w:val="24"/>
              </w:rPr>
              <w:br/>
              <w:t>на автомобильном транспорте, городском наземном электрическом транспорте</w:t>
            </w:r>
            <w:r>
              <w:rPr>
                <w:szCs w:val="24"/>
              </w:rPr>
              <w:br/>
              <w:t xml:space="preserve">и в дорожном хозяйстве», наделяющее полномочиями должностных лиц Ространснадзора по контролю за выполнением </w:t>
            </w:r>
            <w:r>
              <w:rPr>
                <w:szCs w:val="24"/>
              </w:rPr>
              <w:lastRenderedPageBreak/>
              <w:t>иностранными перевозчиками обязанности уплаты административных штрафов</w:t>
            </w:r>
            <w:r>
              <w:rPr>
                <w:szCs w:val="24"/>
              </w:rPr>
              <w:br/>
              <w:t>на территории Российской Федерации;</w:t>
            </w:r>
          </w:p>
          <w:p w:rsidR="00F6158C" w:rsidRDefault="0031438E">
            <w:pPr>
              <w:widowControl w:val="0"/>
              <w:tabs>
                <w:tab w:val="left" w:pos="73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от 30 ноября 2021 г. № 2116</w:t>
            </w:r>
            <w:r>
              <w:rPr>
                <w:szCs w:val="24"/>
              </w:rPr>
              <w:br/>
              <w:t>«О внесении изменений</w:t>
            </w:r>
            <w:r>
              <w:rPr>
                <w:szCs w:val="24"/>
              </w:rPr>
              <w:br/>
              <w:t>в постановление Правительства Российской Федерации</w:t>
            </w:r>
            <w:r>
              <w:rPr>
                <w:szCs w:val="24"/>
              </w:rPr>
              <w:br/>
              <w:t xml:space="preserve">от 21 декабря 2020 г. № 2200», направленное на реализацию применения электронной транспортной накладной, </w:t>
            </w:r>
            <w:r>
              <w:rPr>
                <w:szCs w:val="24"/>
                <w:highlight w:val="white"/>
              </w:rPr>
              <w:t>обмен</w:t>
            </w:r>
            <w:r>
              <w:rPr>
                <w:szCs w:val="24"/>
                <w:highlight w:val="white"/>
              </w:rPr>
              <w:br/>
              <w:t>и хранение сведений</w:t>
            </w:r>
            <w:r>
              <w:rPr>
                <w:szCs w:val="24"/>
                <w:highlight w:val="white"/>
              </w:rPr>
              <w:br/>
              <w:t xml:space="preserve">из </w:t>
            </w:r>
            <w:r>
              <w:rPr>
                <w:szCs w:val="24"/>
              </w:rPr>
              <w:t>электронной</w:t>
            </w:r>
            <w:r>
              <w:rPr>
                <w:szCs w:val="24"/>
                <w:highlight w:val="white"/>
              </w:rPr>
              <w:t xml:space="preserve"> транспортной накладной, иных электронных перевозочных документов</w:t>
            </w:r>
            <w:r>
              <w:rPr>
                <w:szCs w:val="24"/>
                <w:highlight w:val="white"/>
              </w:rPr>
              <w:br/>
              <w:t>и предоставление таких сведений органам государственной власти</w:t>
            </w:r>
            <w:r>
              <w:rPr>
                <w:szCs w:val="24"/>
              </w:rPr>
              <w:t xml:space="preserve"> посредством информационных систем</w:t>
            </w:r>
          </w:p>
          <w:p w:rsidR="00C72242" w:rsidRDefault="00C72242">
            <w:pPr>
              <w:widowControl w:val="0"/>
              <w:tabs>
                <w:tab w:val="left" w:pos="731"/>
              </w:tabs>
              <w:jc w:val="both"/>
              <w:rPr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A92398">
        <w:trPr>
          <w:trHeight w:val="542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(блок мероприятий) 3.5. Формирование сети транспортно-логистических центров</w:t>
            </w:r>
          </w:p>
        </w:tc>
      </w:tr>
      <w:tr w:rsidR="00F6158C" w:rsidTr="000D1838">
        <w:trPr>
          <w:trHeight w:val="1502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3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3.5.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Суммарная мощность введенных в эксплуатацию узловых грузовых транспортно-логистических центров, млн. тонн (нарастающим итогом</w:t>
            </w:r>
            <w:r>
              <w:rPr>
                <w:szCs w:val="24"/>
              </w:rPr>
              <w:br/>
              <w:t>с 2019 года), млн. тонн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5,7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C246FE">
        <w:trPr>
          <w:trHeight w:val="686"/>
        </w:trPr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3.5.1.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инвестиционных проектов по формированию узловых грузовых мультимодальных транспортно-логистических центров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>А.В. Ересько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</w:t>
            </w:r>
            <w:r>
              <w:rPr>
                <w:szCs w:val="24"/>
              </w:rPr>
              <w:br/>
              <w:t>с мероприятиями и контрольными точками реализации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 в эксплуатацию первый этап транспортно-логистического центра «</w:t>
            </w:r>
            <w:r w:rsidR="00C72242">
              <w:rPr>
                <w:rFonts w:ascii="Times New Roman" w:hAnsi="Times New Roman"/>
                <w:sz w:val="24"/>
                <w:szCs w:val="24"/>
              </w:rPr>
              <w:t>Калининград»</w:t>
            </w:r>
            <w:r w:rsidR="00C246FE">
              <w:rPr>
                <w:rFonts w:ascii="Times New Roman" w:hAnsi="Times New Roman"/>
                <w:sz w:val="24"/>
                <w:szCs w:val="24"/>
              </w:rPr>
              <w:br/>
            </w:r>
            <w:r w:rsidR="00C7224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показателями 7 млн. тонн – контейнеры, 2 млн. тонн – прочие грузы.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Суммарная мощность введенных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эксплуатацию объектов составила 9 млн. тонн, а средняя коммерческая скорость товародвижения – 408,4 км/сут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A92398">
        <w:trPr>
          <w:trHeight w:val="1730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9AD" w:rsidRDefault="001509AD">
            <w:pPr>
              <w:widowControl w:val="0"/>
              <w:jc w:val="center"/>
              <w:rPr>
                <w:b/>
                <w:szCs w:val="24"/>
              </w:rPr>
            </w:pPr>
          </w:p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Цель 4. Повышение комплексной безопасности и устойчивости транспортной системы с целью сокращения числа происшествий</w:t>
            </w:r>
            <w:r>
              <w:rPr>
                <w:b/>
                <w:szCs w:val="24"/>
              </w:rPr>
              <w:br/>
              <w:t>на транспорте на единицу транспортных средств на 15 процентов относительно уровня 2017 года</w:t>
            </w:r>
          </w:p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 исполнители: заместитель Министра транспорта Российской Федерации И.П. Чалик</w:t>
            </w:r>
          </w:p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заместитель Министра транспорта Российской Федерации А.В. Суханов</w:t>
            </w:r>
          </w:p>
          <w:p w:rsidR="00616029" w:rsidRDefault="0031438E" w:rsidP="00C246F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заместитель Министра транспорта Российской Федерации А.И. Пошивай</w:t>
            </w:r>
          </w:p>
        </w:tc>
      </w:tr>
      <w:tr w:rsidR="00F6158C" w:rsidTr="00A92398">
        <w:trPr>
          <w:trHeight w:val="636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Pr="008557A5" w:rsidRDefault="0031438E" w:rsidP="008557A5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(блок мероприятий) 4.1. Обеспечение безопасности населения на транспорте</w:t>
            </w:r>
            <w:r w:rsidR="008557A5">
              <w:rPr>
                <w:rStyle w:val="affb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4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4.1.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уровня защищенности аэропортов</w:t>
            </w:r>
            <w:r>
              <w:rPr>
                <w:szCs w:val="24"/>
              </w:rPr>
              <w:br/>
              <w:t>от актов незаконного вмешательства, %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 с пунктом 2(1) распоряжения Правительства Российской Федерации</w:t>
            </w:r>
            <w:r>
              <w:rPr>
                <w:szCs w:val="24"/>
              </w:rPr>
              <w:br/>
              <w:t>от 30 июля 2010 г. № 1285-</w:t>
            </w:r>
            <w:r w:rsidR="00A92398">
              <w:rPr>
                <w:szCs w:val="24"/>
              </w:rPr>
              <w:t>р (</w:t>
            </w:r>
            <w:r>
              <w:rPr>
                <w:szCs w:val="24"/>
              </w:rPr>
              <w:t>в редакции от 4 июля 2019 г.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lastRenderedPageBreak/>
              <w:t>№ 1460-р) Минфину России было поручено предусмотреть при подготовке проекта федерального закона «О федеральном бюджете</w:t>
            </w:r>
            <w:r>
              <w:rPr>
                <w:szCs w:val="24"/>
              </w:rPr>
              <w:br/>
              <w:t>на 2020 год и на плановый период 2021 и 2022 годов» бюджетные ассигнования на финансирование мероприятий Комплексной программы обеспечения безопасности населения</w:t>
            </w:r>
            <w:r>
              <w:rPr>
                <w:szCs w:val="24"/>
              </w:rPr>
              <w:br/>
              <w:t>на транспорте (далее – Комплексная программа).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До настоящего времени выделение средств на реализацию мероприятий (части мероприятий) Комплексной программы</w:t>
            </w:r>
            <w:r>
              <w:rPr>
                <w:szCs w:val="24"/>
              </w:rPr>
              <w:br/>
              <w:t>в федеральном бюджете</w:t>
            </w:r>
            <w:r>
              <w:rPr>
                <w:szCs w:val="24"/>
              </w:rPr>
              <w:br/>
              <w:t>не предусмотрено.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Ввиду отсутствия финансирования Комплексной программы достижение индикаторов по направлению (блоку мероприятий) 4.1 «Обеспечение безопасности населения на </w:t>
            </w:r>
            <w:r w:rsidR="00A92398">
              <w:rPr>
                <w:szCs w:val="24"/>
              </w:rPr>
              <w:t>транспорте»</w:t>
            </w:r>
            <w:r w:rsidR="001B171C">
              <w:rPr>
                <w:szCs w:val="24"/>
              </w:rPr>
              <w:br/>
            </w:r>
            <w:r w:rsidR="00A92398">
              <w:rPr>
                <w:szCs w:val="24"/>
              </w:rPr>
              <w:t>в</w:t>
            </w:r>
            <w:r>
              <w:rPr>
                <w:szCs w:val="24"/>
              </w:rPr>
              <w:t xml:space="preserve"> 2021 году не представлялось возможным</w:t>
            </w:r>
          </w:p>
          <w:p w:rsidR="00F6158C" w:rsidRDefault="00F6158C">
            <w:pPr>
              <w:widowControl w:val="0"/>
              <w:jc w:val="both"/>
              <w:rPr>
                <w:sz w:val="12"/>
                <w:szCs w:val="12"/>
              </w:rPr>
            </w:pP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widowControl w:val="0"/>
              <w:jc w:val="both"/>
              <w:rPr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4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4.1.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Повышение количества защищенных объектов </w:t>
            </w:r>
            <w:r>
              <w:rPr>
                <w:szCs w:val="24"/>
              </w:rPr>
              <w:lastRenderedPageBreak/>
              <w:t>транспортной инфраструктуры (гидроузлов), соответствующих требованиям обеспечения транспортной безопасности, %</w:t>
            </w:r>
          </w:p>
          <w:p w:rsidR="001B171C" w:rsidRDefault="001B171C">
            <w:pPr>
              <w:widowControl w:val="0"/>
              <w:ind w:left="720"/>
              <w:jc w:val="both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62,3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widowControl w:val="0"/>
              <w:rPr>
                <w:szCs w:val="24"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widowControl w:val="0"/>
              <w:rPr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4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Индикатор направления (блока мероприятий) 4.1.</w:t>
            </w:r>
          </w:p>
          <w:p w:rsidR="00C246FE" w:rsidRDefault="0031438E" w:rsidP="00C246F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уровня защищенности объектов транспортной инфраструктуры метрополитенов в соответствии с требованиями по обеспечению транспортной безопасности, %</w:t>
            </w:r>
          </w:p>
          <w:p w:rsidR="001B171C" w:rsidRDefault="001B171C" w:rsidP="00C246FE">
            <w:pPr>
              <w:widowControl w:val="0"/>
              <w:ind w:left="720"/>
              <w:jc w:val="both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widowControl w:val="0"/>
              <w:rPr>
                <w:szCs w:val="24"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widowControl w:val="0"/>
              <w:rPr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4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4.1.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уровня защищенности объектов транспортной инфраструктуры Дирекции железнодорожных вокзалов - филиала открытого акционерного общества «Российские железные дороги» и федерального государственного унитарного предприятия «Крымская железная дорога» в соответствии с требованиями по обеспечению транспортной безопасности, %</w:t>
            </w:r>
          </w:p>
          <w:p w:rsidR="00C246FE" w:rsidRDefault="00C246FE">
            <w:pPr>
              <w:widowControl w:val="0"/>
              <w:ind w:left="720"/>
              <w:jc w:val="both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42,4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widowControl w:val="0"/>
              <w:rPr>
                <w:szCs w:val="24"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widowControl w:val="0"/>
              <w:rPr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4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4.1.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Среднее (за период семь лет) количество совершенных актов незаконного вмешательства в деятельность транспортного комплекса, штук</w:t>
            </w:r>
          </w:p>
          <w:p w:rsidR="001B171C" w:rsidRDefault="001B171C">
            <w:pPr>
              <w:widowControl w:val="0"/>
              <w:ind w:left="720"/>
              <w:jc w:val="both"/>
              <w:rPr>
                <w:szCs w:val="24"/>
              </w:rPr>
            </w:pPr>
          </w:p>
          <w:p w:rsidR="001B171C" w:rsidRDefault="001B171C">
            <w:pPr>
              <w:widowControl w:val="0"/>
              <w:ind w:left="720"/>
              <w:jc w:val="both"/>
              <w:rPr>
                <w:szCs w:val="24"/>
              </w:rPr>
            </w:pPr>
          </w:p>
          <w:p w:rsidR="001B171C" w:rsidRDefault="001B171C">
            <w:pPr>
              <w:widowControl w:val="0"/>
              <w:ind w:left="720"/>
              <w:jc w:val="both"/>
              <w:rPr>
                <w:szCs w:val="24"/>
              </w:rPr>
            </w:pPr>
          </w:p>
          <w:p w:rsidR="001B171C" w:rsidRDefault="001B171C">
            <w:pPr>
              <w:widowControl w:val="0"/>
              <w:ind w:left="720"/>
              <w:jc w:val="both"/>
              <w:rPr>
                <w:szCs w:val="24"/>
              </w:rPr>
            </w:pPr>
          </w:p>
          <w:p w:rsidR="00C246FE" w:rsidRDefault="00C246FE">
            <w:pPr>
              <w:widowControl w:val="0"/>
              <w:ind w:left="720"/>
              <w:jc w:val="both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23,5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F6158C">
            <w:pPr>
              <w:widowControl w:val="0"/>
              <w:rPr>
                <w:szCs w:val="24"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F6158C">
            <w:pPr>
              <w:widowControl w:val="0"/>
              <w:rPr>
                <w:szCs w:val="24"/>
              </w:rPr>
            </w:pPr>
          </w:p>
        </w:tc>
      </w:tr>
      <w:tr w:rsidR="00F6158C" w:rsidTr="000D1838">
        <w:trPr>
          <w:trHeight w:val="1944"/>
        </w:trPr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31438E" w:rsidP="00FB5DAA">
            <w:pPr>
              <w:widowControl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4.1.1.</w:t>
            </w:r>
          </w:p>
          <w:p w:rsidR="00F6158C" w:rsidRDefault="0031438E" w:rsidP="00FB5DA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Реализация Комплексной программы обеспечения безопасности населения</w:t>
            </w:r>
            <w:r>
              <w:rPr>
                <w:szCs w:val="24"/>
              </w:rPr>
              <w:br/>
              <w:t>на транспорте</w:t>
            </w:r>
          </w:p>
          <w:p w:rsidR="00F6158C" w:rsidRDefault="0031438E" w:rsidP="00FB5DAA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C80D1E" w:rsidRDefault="0031438E" w:rsidP="00C246F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А.А. Демьянов</w:t>
            </w:r>
          </w:p>
          <w:p w:rsidR="00C246FE" w:rsidRDefault="00C246FE" w:rsidP="00C246FE">
            <w:pPr>
              <w:widowControl w:val="0"/>
              <w:rPr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Представлен доклад</w:t>
            </w:r>
            <w:r>
              <w:rPr>
                <w:szCs w:val="24"/>
              </w:rPr>
              <w:br/>
              <w:t>в Правительство Российской Федерации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Доклад в Правительство Российской Федерации представлен письмом Минтранса России от 20 октября 2021 г.</w:t>
            </w:r>
            <w:r>
              <w:rPr>
                <w:szCs w:val="24"/>
              </w:rPr>
              <w:br/>
              <w:t>№ АК-Д11-11/20212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398" w:rsidTr="00C9183E">
        <w:trPr>
          <w:trHeight w:val="944"/>
        </w:trPr>
        <w:tc>
          <w:tcPr>
            <w:tcW w:w="15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98" w:rsidRDefault="00A92398" w:rsidP="00FB5DAA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(блок мероприятий) 4.2. Обеспечение и развитие деятельности поисково- и аварийно-спасательной системы на транспорте</w:t>
            </w:r>
          </w:p>
        </w:tc>
      </w:tr>
      <w:tr w:rsidR="00F6158C" w:rsidTr="000D1838">
        <w:trPr>
          <w:trHeight w:val="1148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5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4.2.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Уровень охвата территории Российской Федерации поисково-спасательным обеспечением полетов, %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4.2.1.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Финансовое обеспечение оперативной деятельности, обеспечение имуществом и снаряжением, подведомственных Федеральному агентству воздушного транспорта аварийно-спасательных формирований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С.А. Петрова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Нерадько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году Росавиация в сфере авиационно-космического поиска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спасания продолжала работу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совершенствованию функционирования единой системы авиационно-космического поиска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спасания.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Поисково-спасательное обеспечение в части дежурства поисково-спасательных воздушных судов и экипажей по состоянию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31 декабря 2021 г. осуществлялось с привлечением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80 до 106 экипажей поисково-спасательных воздушных </w:t>
            </w:r>
            <w:r w:rsidR="00FB5DAA">
              <w:rPr>
                <w:rFonts w:ascii="Times New Roman" w:hAnsi="Times New Roman"/>
                <w:sz w:val="24"/>
                <w:szCs w:val="24"/>
              </w:rPr>
              <w:t>судов,</w:t>
            </w:r>
            <w:r w:rsidR="001509AD">
              <w:rPr>
                <w:rFonts w:ascii="Times New Roman" w:hAnsi="Times New Roman"/>
                <w:sz w:val="24"/>
                <w:szCs w:val="24"/>
              </w:rPr>
              <w:br/>
            </w:r>
            <w:r w:rsidR="00FB5DAA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на самолетах −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19 до 25 экипажей, на вертолетах − от 61 до 81 экипажа.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экипажами поисково-спасательных воздушных судов дежурство осуществляли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 спасательных парашютно-десантных групп из состава федеральных казенных учреждений (61 региональной поисково-спасательной базы), подведомственных Росавиации</w:t>
            </w:r>
          </w:p>
          <w:p w:rsidR="00F6158C" w:rsidRDefault="00F6158C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4.2.2.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Финансовое обеспечение предоставления субсидий из федерального бюджета авиационным предприятиям</w:t>
            </w:r>
            <w:r>
              <w:rPr>
                <w:szCs w:val="24"/>
              </w:rPr>
              <w:br/>
              <w:t>и организациям экспериментальной авиации на возмещение затрат при осуществлении ими поисково-спасательных операций (работ)</w:t>
            </w:r>
            <w:r>
              <w:rPr>
                <w:szCs w:val="24"/>
              </w:rPr>
              <w:br/>
              <w:t>и участии в их обеспечении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С.А. Петрова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Нерадько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На реализацию Правилами предоставления из федерального бюджета субсидий авиационным предприятиям и организациям экспериментальной авиации</w:t>
            </w:r>
            <w:r>
              <w:rPr>
                <w:szCs w:val="24"/>
              </w:rPr>
              <w:br/>
              <w:t>на возмещение затрат при осуществлении ими поисково-спасательных операций (работ)</w:t>
            </w:r>
            <w:r>
              <w:rPr>
                <w:szCs w:val="24"/>
              </w:rPr>
              <w:br/>
              <w:t>и (или) участии в их обеспечении, утвержденными постановлением Правительства Российской Федерации от 28 августа 2021 г.</w:t>
            </w:r>
            <w:r>
              <w:rPr>
                <w:szCs w:val="24"/>
              </w:rPr>
              <w:br/>
              <w:t>№ 1440, выделено 6,4 млн. рублей, соглашения в рамках Правил заключены с 6 организациями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6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4.2.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Уровень технической оснащенности аварийно-спасательных служб на водном транспорте, %</w:t>
            </w:r>
          </w:p>
          <w:p w:rsidR="00C9183E" w:rsidRDefault="00C9183E">
            <w:pPr>
              <w:widowControl w:val="0"/>
              <w:ind w:left="720"/>
              <w:jc w:val="both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52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4.2.3.</w:t>
            </w:r>
          </w:p>
          <w:p w:rsidR="00C246FE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субсидий из федерального бюджета на возмещение затрат, связанных с выполнением задач (функций) по выполнению мероприятий по несению аварийно-спасательной готовности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В.В. Клюев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Лаврищев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субсидий</w:t>
            </w:r>
            <w:r>
              <w:rPr>
                <w:szCs w:val="24"/>
              </w:rPr>
              <w:br/>
              <w:t>из федерального бюджета</w:t>
            </w:r>
            <w:r>
              <w:rPr>
                <w:szCs w:val="24"/>
              </w:rPr>
              <w:br/>
              <w:t>на возмещение затрат, связанных</w:t>
            </w:r>
            <w:r>
              <w:rPr>
                <w:szCs w:val="24"/>
              </w:rPr>
              <w:br/>
              <w:t>с выполнением задач (функций)</w:t>
            </w:r>
            <w:r>
              <w:rPr>
                <w:szCs w:val="24"/>
              </w:rPr>
              <w:br/>
              <w:t>по выполнению мероприятий</w:t>
            </w:r>
            <w:r>
              <w:rPr>
                <w:szCs w:val="24"/>
              </w:rPr>
              <w:br/>
              <w:t>по несению аварийно-спасательной готовности на море, включая создание и функционирование Глобальной морской системы связи при бедствии и для обеспечения безопасности, других систем передачи информации, обеспечивалось в пределах бюджетных ассигнований, предусмотренных в федеральном бюджете на 2021 год.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рамках поставленной задачи выполняются мероприятия: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функционирования Международного координационно-вычислительного центра системы Коспас-Сарсат в г. Москве (МКВЦ) для приема аварийных сигналов, определения географических координат и государственной принадлежности терпящих бедствие судов, самолетов и других подвижных объектов;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функций по передаче полученной информации</w:t>
            </w:r>
            <w:r>
              <w:rPr>
                <w:szCs w:val="24"/>
              </w:rPr>
              <w:br/>
              <w:t>о бедствии в системе Коспас-</w:t>
            </w:r>
            <w:r>
              <w:rPr>
                <w:szCs w:val="24"/>
              </w:rPr>
              <w:lastRenderedPageBreak/>
              <w:t>Сарсат в Спасательно-координационный центр Росморречфлота, ФБУ «Служба единой системы авиационно-космического поиска и спасания» (ФГУ «Служба ЕС АКПС</w:t>
            </w:r>
            <w:r w:rsidR="00FB5DAA">
              <w:rPr>
                <w:szCs w:val="24"/>
              </w:rPr>
              <w:t>»)</w:t>
            </w:r>
            <w:r w:rsidR="005E22B1">
              <w:rPr>
                <w:szCs w:val="24"/>
              </w:rPr>
              <w:br/>
            </w:r>
            <w:r>
              <w:rPr>
                <w:szCs w:val="24"/>
              </w:rPr>
              <w:t>и Дежурно-диспетчерскую службу Ространснадзора, а также зарубежные координационные</w:t>
            </w:r>
            <w:r>
              <w:rPr>
                <w:szCs w:val="24"/>
              </w:rPr>
              <w:br/>
              <w:t>и спасательные центры;</w:t>
            </w:r>
          </w:p>
          <w:p w:rsidR="00F6158C" w:rsidRDefault="0031438E" w:rsidP="00C80D1E">
            <w:pPr>
              <w:widowControl w:val="0"/>
              <w:ind w:firstLine="2"/>
              <w:jc w:val="both"/>
              <w:rPr>
                <w:szCs w:val="24"/>
              </w:rPr>
            </w:pPr>
            <w:r>
              <w:rPr>
                <w:szCs w:val="24"/>
              </w:rPr>
              <w:t>ведение национальной базы аварийных радиобуев</w:t>
            </w:r>
            <w:r>
              <w:rPr>
                <w:szCs w:val="24"/>
              </w:rPr>
              <w:br/>
              <w:t>и радиомаяков системы Коспас-Сарсат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4.2.4.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субсидий бюджетным учреждениям на выполнение государственного задания на оказание государственных услуг (выполнение работ) в области поискового и аварийно-спасательного обеспечения судоходства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Клюев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Лаврищев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ind w:firstLine="5"/>
              <w:jc w:val="both"/>
              <w:rPr>
                <w:szCs w:val="24"/>
              </w:rPr>
            </w:pPr>
            <w:bookmarkStart w:id="6" w:name="_Hlk63701197"/>
            <w:r>
              <w:rPr>
                <w:szCs w:val="24"/>
              </w:rPr>
              <w:t>Предоставление субсидий бюджетным учреждениям на выполнение государственного задания на оказание государственных услуг (выполнение работ) в области поискового и аварийно-спасательного обеспечения судоходства из федерального бюджета обеспечивалось</w:t>
            </w:r>
            <w:r>
              <w:rPr>
                <w:szCs w:val="24"/>
              </w:rPr>
              <w:br/>
              <w:t>в пределах бюджетных ассигнований, предусмотренных</w:t>
            </w:r>
            <w:r>
              <w:rPr>
                <w:szCs w:val="24"/>
              </w:rPr>
              <w:br/>
              <w:t>в федеральном бюджете</w:t>
            </w:r>
            <w:r>
              <w:rPr>
                <w:szCs w:val="24"/>
              </w:rPr>
              <w:br/>
              <w:t>на 2021 год</w:t>
            </w:r>
            <w:bookmarkEnd w:id="6"/>
          </w:p>
          <w:p w:rsidR="00C9183E" w:rsidRDefault="00C9183E">
            <w:pPr>
              <w:widowControl w:val="0"/>
              <w:ind w:firstLine="5"/>
              <w:jc w:val="both"/>
              <w:rPr>
                <w:szCs w:val="24"/>
              </w:rPr>
            </w:pPr>
          </w:p>
          <w:p w:rsidR="00C9183E" w:rsidRDefault="00C9183E">
            <w:pPr>
              <w:widowControl w:val="0"/>
              <w:ind w:firstLine="5"/>
              <w:jc w:val="both"/>
              <w:rPr>
                <w:szCs w:val="24"/>
              </w:rPr>
            </w:pPr>
          </w:p>
          <w:p w:rsidR="00C9183E" w:rsidRDefault="00C9183E">
            <w:pPr>
              <w:widowControl w:val="0"/>
              <w:ind w:firstLine="5"/>
              <w:jc w:val="both"/>
              <w:rPr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C9183E">
        <w:trPr>
          <w:trHeight w:val="544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(блок мероприятий) 4.3. Развитие интегрированной системы контроля безопасности на транспорте</w:t>
            </w: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7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4.3.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Снижение количества смертельных случаев и случаев травматизма относительно уровня 2017 года, %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  <w:p w:rsidR="00F6158C" w:rsidRDefault="00F6158C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D1838" w:rsidTr="000D1838"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4.3.1.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эффективности осуществления контрольно-надзорной деятельности</w:t>
            </w:r>
          </w:p>
          <w:p w:rsidR="000D1838" w:rsidRDefault="000D1838" w:rsidP="000D1838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В.Ф. Басаргин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</w:t>
            </w:r>
            <w:r>
              <w:rPr>
                <w:szCs w:val="24"/>
              </w:rPr>
              <w:br/>
              <w:t>с контрольными точками реализации ВП 3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0D183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0D1838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0D183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ведомственного проекта «Совершенствование контрольно- надзорной деятельности в сфере транспорта в Российской Федерации» Ространснадзором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2021 году был заключен государственный контракт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21 мая 2021 г. № 4.5.12-26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приобретение 22 передвижных контрольных весогабаритных пунктов. В связи с неисполнением условий контракта поставщиком Ространснадзором 18 октября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2021 г. расторгнут государственный контракт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20 апреля 2021 г. № 4.5.12-21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поставку трех патрульных катеров и заключен государственный контракт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19 октября 2021 г. № 4.5.12-</w:t>
            </w:r>
            <w:r w:rsidR="00616029">
              <w:rPr>
                <w:rFonts w:ascii="Times New Roman" w:hAnsi="Times New Roman"/>
                <w:sz w:val="24"/>
                <w:szCs w:val="24"/>
              </w:rPr>
              <w:t>69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одного дополнительного судна. Также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2021 году приняты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контрактам 2020 года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приобретение 4 патрульных судов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0D1838">
            <w:pPr>
              <w:pStyle w:val="ConsPlusNormal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7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Индикатор направления (блока мероприятий) 4.3.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Уровень оснащенности надзорного органа техническими средствами, %</w:t>
            </w:r>
          </w:p>
          <w:p w:rsidR="00C9183E" w:rsidRDefault="00C9183E">
            <w:pPr>
              <w:widowControl w:val="0"/>
              <w:ind w:left="720"/>
              <w:jc w:val="both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не достигло планового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C80D1E">
        <w:trPr>
          <w:trHeight w:val="868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7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4.3.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Оснащение патрульными судами (катера), единиц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  <w:p w:rsidR="00C9183E" w:rsidRDefault="00C9183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7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4.3.</w:t>
            </w:r>
          </w:p>
          <w:p w:rsidR="00F6158C" w:rsidRDefault="0031438E" w:rsidP="00C80D1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Прирост количества приобретенных передвижных контрольных пунктов транспортного контроля</w:t>
            </w:r>
            <w:r w:rsidR="00C80D1E">
              <w:rPr>
                <w:szCs w:val="24"/>
              </w:rPr>
              <w:br/>
            </w:r>
            <w:r>
              <w:rPr>
                <w:szCs w:val="24"/>
              </w:rPr>
              <w:t>в отчетном периоде относительно уровня 2017 года, %</w:t>
            </w:r>
          </w:p>
          <w:p w:rsidR="00C9183E" w:rsidRDefault="00C9183E" w:rsidP="00C80D1E">
            <w:pPr>
              <w:widowControl w:val="0"/>
              <w:ind w:left="720"/>
              <w:jc w:val="both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4.3.2.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Приобретение патрульных судов, а также передвижных контрольных пунктов транспортного контроля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В.Ф. Басаргин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 с контрольными точками реализации ВП 3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ведомственного проекта «Совершенствование контрольно- надзорной деятельности в сфере транспорта в Российской Федерации» Ространснадзором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2021 году был заключен государственный контракт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21 мая 2021 г. № 4.5.12-26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приобретение 22 передвижных контрольных весогабаритных пунктов, что на 2 единицы больше запланированного количества. Также в связи с неисполнением условий контракта поставщиком Ространснадзором 18 октября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2021 г. расторгнут государственный к</w:t>
            </w:r>
            <w:r w:rsidR="000D1838">
              <w:rPr>
                <w:rFonts w:ascii="Times New Roman" w:hAnsi="Times New Roman"/>
                <w:sz w:val="24"/>
                <w:szCs w:val="24"/>
              </w:rPr>
              <w:t>онтракт</w:t>
            </w:r>
            <w:r w:rsidR="005E22B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</w:t>
            </w:r>
            <w:r w:rsidR="000D1838">
              <w:rPr>
                <w:rFonts w:ascii="Times New Roman" w:hAnsi="Times New Roman"/>
                <w:sz w:val="24"/>
                <w:szCs w:val="24"/>
              </w:rPr>
              <w:t xml:space="preserve"> 20 апреля 2021 г. № 4.5.12-21</w:t>
            </w:r>
            <w:r w:rsidR="005E22B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 поставку трех патрульных катеров и заключен государственный контракт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19 октября 2021 г. № 4.5.12-</w:t>
            </w:r>
            <w:r w:rsidR="000D1838">
              <w:rPr>
                <w:rFonts w:ascii="Times New Roman" w:hAnsi="Times New Roman"/>
                <w:sz w:val="24"/>
                <w:szCs w:val="24"/>
              </w:rPr>
              <w:t>69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одного дополнительного судна.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вышеизложенного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достигнут индикатор направления (блока мероприятий) 4.3 «Уровень оснащенности надзорного органа техническими средствами», который составляет 91,3 % при установленном 92 %</w:t>
            </w:r>
          </w:p>
          <w:p w:rsidR="00C80D1E" w:rsidRDefault="00C80D1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7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Индикатор направления (блока мероприятий) 4.3.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Доступность сервиса Единой информационно-аналитической системы Ространснадзора, функционирующей в режиме 24/7, %</w:t>
            </w:r>
          </w:p>
          <w:p w:rsidR="00C9183E" w:rsidRDefault="00C9183E">
            <w:pPr>
              <w:widowControl w:val="0"/>
              <w:ind w:left="720"/>
              <w:jc w:val="both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99,69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99,69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7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4.3.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Уровень обслуживания центра обработки данных, резервного центра обработки данных и АРМ центрального аппарата Ространснадзора, %</w:t>
            </w:r>
          </w:p>
          <w:p w:rsidR="00C9183E" w:rsidRDefault="00C9183E">
            <w:pPr>
              <w:widowControl w:val="0"/>
              <w:ind w:left="720"/>
              <w:jc w:val="both"/>
              <w:rPr>
                <w:szCs w:val="24"/>
              </w:rPr>
            </w:pPr>
          </w:p>
          <w:p w:rsidR="00C9183E" w:rsidRDefault="00C9183E">
            <w:pPr>
              <w:widowControl w:val="0"/>
              <w:ind w:left="720"/>
              <w:jc w:val="both"/>
              <w:rPr>
                <w:szCs w:val="24"/>
              </w:rPr>
            </w:pPr>
          </w:p>
          <w:p w:rsidR="00C9183E" w:rsidRDefault="00C9183E">
            <w:pPr>
              <w:widowControl w:val="0"/>
              <w:ind w:left="720"/>
              <w:jc w:val="both"/>
              <w:rPr>
                <w:szCs w:val="24"/>
              </w:rPr>
            </w:pPr>
          </w:p>
          <w:p w:rsidR="00C9183E" w:rsidRDefault="00C9183E">
            <w:pPr>
              <w:widowControl w:val="0"/>
              <w:ind w:left="720"/>
              <w:jc w:val="both"/>
              <w:rPr>
                <w:szCs w:val="24"/>
              </w:rPr>
            </w:pPr>
          </w:p>
          <w:p w:rsidR="00C9183E" w:rsidRDefault="00C9183E">
            <w:pPr>
              <w:widowControl w:val="0"/>
              <w:ind w:left="720"/>
              <w:jc w:val="both"/>
              <w:rPr>
                <w:szCs w:val="24"/>
              </w:rPr>
            </w:pPr>
          </w:p>
          <w:p w:rsidR="00C9183E" w:rsidRDefault="00C9183E">
            <w:pPr>
              <w:widowControl w:val="0"/>
              <w:ind w:left="720"/>
              <w:jc w:val="both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  <w:p w:rsidR="001509AD" w:rsidRDefault="001509AD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D1E" w:rsidRDefault="00C80D1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5010"/>
        </w:trPr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4.3.3.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деятельности Ространснадзора и его территориальных управлений по осуществлению контрольной и надзорной деятельности на автомобильном, воздушном, железнодорожном, морском, внутреннем водном транспорте, в дорожном хозяйстве, в сфере транспортной безопасности в части бесперебойного обслуживания Единой информационно-аналитической системы Ространснадзора, центра обработки данных, резервного центра обработки данных и АРМ центрального аппарата Ространснадзора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В.Ф. Басаргин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</w:t>
            </w:r>
            <w:r>
              <w:rPr>
                <w:szCs w:val="24"/>
              </w:rPr>
              <w:br/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I−IV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 постоянный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бесперебойный доступ пользователей к сервису Единой информационно-аналитической системы Ространснадзора, функционирующей в режиме 24/7. Осуществлялось резервное копирование информации, выполнялись регламентные работы по необходимому увеличению вычислительных мощностей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памяти, осуществлялось перераспределение нагрузок по элементам Центра обработки данных АРМ центрального аппарата Ространснадзора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A92398">
        <w:trPr>
          <w:trHeight w:val="1020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(блок мероприятий) 4.5. Повышение уровня информационного обеспечения безопасности населения на транспорте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с обеспечением до 30000 субъектов транспортной деятельности</w:t>
            </w:r>
          </w:p>
        </w:tc>
      </w:tr>
      <w:tr w:rsidR="00F6158C" w:rsidTr="000D1838">
        <w:trPr>
          <w:trHeight w:val="1700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widowControl w:val="0"/>
              <w:numPr>
                <w:ilvl w:val="0"/>
                <w:numId w:val="18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4.5.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субъектов транспортной деятельности, подключенных к единому защищенному закрытому информационному пространству в сфере обеспечения безопасности населения на транспорте, единиц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7182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2021"/>
        </w:trPr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4.5.1.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ведомственной целевой программы «Цифровая платформа транспортного комплекса Российской Федерации»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Д.А. Поплаухин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tabs>
                <w:tab w:val="left" w:pos="113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Отчет</w:t>
            </w:r>
          </w:p>
          <w:p w:rsidR="00F6158C" w:rsidRDefault="0031438E">
            <w:pPr>
              <w:widowControl w:val="0"/>
              <w:tabs>
                <w:tab w:val="left" w:pos="113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 реализации</w:t>
            </w:r>
            <w:r>
              <w:rPr>
                <w:szCs w:val="24"/>
              </w:rPr>
              <w:br/>
              <w:t>ГП 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I−IV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Hlk63703707"/>
            <w:r>
              <w:rPr>
                <w:rFonts w:ascii="Times New Roman" w:hAnsi="Times New Roman"/>
                <w:sz w:val="24"/>
                <w:szCs w:val="24"/>
              </w:rPr>
              <w:t xml:space="preserve">Обеспечено количество субъектов транспортной деятельности, подключенных к единому защищенному закрытому информационному пространству в сфере обеспечения безопасности населения на транспорте, в объеме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7182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bookmarkEnd w:id="7"/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A92398">
        <w:trPr>
          <w:trHeight w:val="976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Цель 5. Доведение доли автомобильных дорог регионального значения, соответствующих нормативным требованиям,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до 50,9 процента</w:t>
            </w:r>
          </w:p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 первый заместитель Министра транспорта Российской Федерации А.А. Костюк</w:t>
            </w:r>
          </w:p>
        </w:tc>
      </w:tr>
      <w:tr w:rsidR="00F6158C" w:rsidTr="00A92398">
        <w:trPr>
          <w:trHeight w:val="640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Направление (блок мероприятий) 5.1. Повышение качества автомобильных дорог регионального значения</w:t>
            </w: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19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5.1.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Доля автомобильных дорог регионального</w:t>
            </w:r>
            <w:r>
              <w:rPr>
                <w:szCs w:val="24"/>
              </w:rPr>
              <w:br/>
              <w:t>и межмуниципального значения, соответствующих нормативным требованиям, %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45,8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48,95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 w:rsidR="00616029">
              <w:rPr>
                <w:rFonts w:ascii="Times New Roman" w:hAnsi="Times New Roman"/>
                <w:sz w:val="24"/>
                <w:szCs w:val="24"/>
              </w:rPr>
              <w:t>достижении запланированной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величины индикатора носят оперативный оценочный характер и могут быть уточнены после завершения формирования информации по форме федерального статистического наблюдения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1-БКАД, срок предоставления показателей из которой в соответствии с Федеральным планом статистических работ, утвержденным распоряжением Правительства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 от 6 мая 2008 г.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671-р, установлен на 25 апреля года, следующего за отчетным годом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2350"/>
        </w:trPr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5.1.1.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Реализация программ дорожной </w:t>
            </w:r>
            <w:r w:rsidR="000D1838">
              <w:rPr>
                <w:szCs w:val="24"/>
              </w:rPr>
              <w:t>деятельности субъектами</w:t>
            </w:r>
            <w:r>
              <w:rPr>
                <w:szCs w:val="24"/>
              </w:rPr>
              <w:t xml:space="preserve"> Российской Федерации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Шилов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И.В. Костюченко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соответствии </w:t>
            </w:r>
            <w:r>
              <w:rPr>
                <w:szCs w:val="24"/>
              </w:rPr>
              <w:br/>
              <w:t>с контрольными точками реализации</w:t>
            </w:r>
            <w:r>
              <w:rPr>
                <w:szCs w:val="24"/>
              </w:rPr>
              <w:br/>
              <w:t>ФП 23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 w:rsidP="0031438E">
            <w:pPr>
              <w:pStyle w:val="24"/>
              <w:widowControl w:val="0"/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Субъектами Российской Федерации реализованы программы дорожной деятельности, </w:t>
            </w:r>
            <w:r w:rsidR="000D1838">
              <w:rPr>
                <w:sz w:val="24"/>
                <w:szCs w:val="24"/>
              </w:rPr>
              <w:t>позволившие, по оперативным сведениям,</w:t>
            </w:r>
            <w:r>
              <w:rPr>
                <w:sz w:val="24"/>
                <w:szCs w:val="24"/>
              </w:rPr>
              <w:t xml:space="preserve"> осуществить работы на более чем</w:t>
            </w:r>
            <w:r>
              <w:rPr>
                <w:sz w:val="24"/>
                <w:szCs w:val="24"/>
              </w:rPr>
              <w:br/>
              <w:t>6 100 объектах в 84 субъектах Российской Федерации, а также на ряде капиталоемких объектов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C80D1E">
        <w:trPr>
          <w:trHeight w:val="1706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38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Цель 6. Обеспечение доли дорожной сети в городских агломерациях, соответствующей нормативным </w:t>
            </w:r>
            <w:r w:rsidR="000D1838">
              <w:rPr>
                <w:b/>
                <w:szCs w:val="24"/>
              </w:rPr>
              <w:t xml:space="preserve">требованиям, </w:t>
            </w:r>
          </w:p>
          <w:p w:rsidR="00F6158C" w:rsidRDefault="000D1838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</w:t>
            </w:r>
            <w:r w:rsidR="0031438E">
              <w:rPr>
                <w:b/>
                <w:szCs w:val="24"/>
              </w:rPr>
              <w:t xml:space="preserve"> уровне не менее 85 процентов</w:t>
            </w:r>
            <w:bookmarkStart w:id="8" w:name="_Hlk63706024"/>
            <w:bookmarkEnd w:id="8"/>
          </w:p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исполнитель: первый заместитель Министра транспорта Российской Федерации А.А. Костюк</w:t>
            </w:r>
          </w:p>
        </w:tc>
      </w:tr>
      <w:tr w:rsidR="00F6158C" w:rsidTr="00A92398">
        <w:trPr>
          <w:trHeight w:val="520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(блок мероприятий) 6.1. Повышение качества дорожной сети в городских агломерациях</w:t>
            </w:r>
            <w:bookmarkStart w:id="9" w:name="_Hlk63706045"/>
            <w:bookmarkEnd w:id="9"/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2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6.1.</w:t>
            </w:r>
          </w:p>
          <w:p w:rsidR="00F6158C" w:rsidRDefault="0031438E">
            <w:pPr>
              <w:widowControl w:val="0"/>
              <w:ind w:left="709"/>
              <w:jc w:val="both"/>
              <w:rPr>
                <w:szCs w:val="24"/>
              </w:rPr>
            </w:pPr>
            <w:r>
              <w:rPr>
                <w:szCs w:val="24"/>
              </w:rPr>
              <w:t>Доля дорожной сети городских агломераций, соответствующая нормативным требованиям, %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77,93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 w:rsidR="000D1838">
              <w:rPr>
                <w:rFonts w:ascii="Times New Roman" w:hAnsi="Times New Roman"/>
                <w:sz w:val="24"/>
                <w:szCs w:val="24"/>
              </w:rPr>
              <w:t>достижении запланированной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величины индикатора носят оперативный оценочный характер и могут быть уточнены после завершения формирования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форме федерального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статистического наблюдения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1-БКАД, срок предоставления показателей из которой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Федеральным планом статистических работ, утвержденным распоряжением Правительства Российской Федерации от 6 мая 2008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 671-р, установлен на 25 апреля года, следующего за отчетным годом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616029"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6.1.1.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программ дорожной деятельности субъектами Российской Федерации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Шилов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И.В. Костюченко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</w:t>
            </w:r>
            <w:r>
              <w:rPr>
                <w:szCs w:val="24"/>
              </w:rPr>
              <w:br/>
              <w:t>с контрольными точками реализации</w:t>
            </w:r>
            <w:r>
              <w:rPr>
                <w:szCs w:val="24"/>
              </w:rPr>
              <w:br/>
              <w:t>ФП 23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bookmarkStart w:id="10" w:name="_Hlk63765396"/>
            <w:r>
              <w:rPr>
                <w:rFonts w:ascii="Times New Roman" w:hAnsi="Times New Roman"/>
                <w:sz w:val="24"/>
                <w:szCs w:val="24"/>
              </w:rPr>
              <w:t>бъектами Российской Федерации осуществлены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автомобильных дорогах, находящихся на территории городских агломераций, направленные на создание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регионах систем управления движением на автомобильных дорогах городских агломераций. По состоянию на 31 декабря 2021 г. на автомобильных дорогах регионального или межмуниципального, местного значения в 56 регионах размещены 298 автоматических пунктов весогабаритного контроля транспортных средств. Реализация данного мероприятия способствует повышению сохранности автомобильных дорог, безопасности дорожного движения</w:t>
            </w:r>
            <w:bookmarkEnd w:id="10"/>
          </w:p>
          <w:p w:rsidR="00616029" w:rsidRDefault="00616029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616029">
        <w:tc>
          <w:tcPr>
            <w:tcW w:w="15173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Цель 7. Повышение эффективности государственного управления в сфере транспортного комплекса</w:t>
            </w:r>
          </w:p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 исполнители: первый заместитель Министра транспорта Российской Федерации А.А. Костюк</w:t>
            </w:r>
          </w:p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статс-секретарь – заместитель Министра транспорта Российской Федерации Д.С. Зверев</w:t>
            </w:r>
          </w:p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заместитель Министра транспорта Российской Федерации В.А. Токарев</w:t>
            </w:r>
          </w:p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заместитель Министра транспорта Российской Федерации И.П. Чалик</w:t>
            </w:r>
          </w:p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заместитель Министра транспорта Российской Федерации А.И. Пошивай</w:t>
            </w:r>
          </w:p>
          <w:p w:rsidR="00F6158C" w:rsidRDefault="0031438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заместитель Министра транспорта Российской Федерации А.В. Суханов</w:t>
            </w:r>
          </w:p>
          <w:p w:rsidR="00C246FE" w:rsidRDefault="00C246FE">
            <w:pPr>
              <w:widowControl w:val="0"/>
              <w:jc w:val="center"/>
              <w:rPr>
                <w:b/>
                <w:szCs w:val="24"/>
              </w:rPr>
            </w:pPr>
          </w:p>
        </w:tc>
      </w:tr>
      <w:tr w:rsidR="00F6158C" w:rsidTr="00A92398"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(блок мероприятий) 7.1. Совершенствование нормативной правовой деятельности</w:t>
            </w: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7.1.1.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Плана законопроектной деятельности Министерства транспорта Российской Федерации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Малышева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Принятие ведомственного акта Министерства транспорта Российской Федерации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Распоряжением Минтранса Рорссии от 13 января 2021 г. № ВС5-</w:t>
            </w:r>
            <w:r w:rsidR="000D1838">
              <w:rPr>
                <w:rFonts w:ascii="Times New Roman" w:hAnsi="Times New Roman"/>
                <w:sz w:val="24"/>
                <w:szCs w:val="24"/>
              </w:rPr>
              <w:t>р утвержден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законопроектной деятельности Минтранса России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2021 год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законопроектной деятельности Минтранса России на 2021 год признан утратившим силу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связи с утверждением Плана законопроектной деятельности Минтранса России на 2022 год распоряжением Минтранса России от 21 января 2022 г. № ВС-12-р</w:t>
            </w: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7.1.2.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Реализация Плана законопроектной </w:t>
            </w:r>
            <w:r>
              <w:rPr>
                <w:szCs w:val="24"/>
              </w:rPr>
              <w:lastRenderedPageBreak/>
              <w:t>деятельности Министерства транспорта Российской Федерации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 исполнители: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директора департаментов Министерства транспорта Российской Федерации, ответственные за реализацию законопроектов, предусмотренных Планом законопроектной деятельности Министерства транспорта Российской Федерации;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Малышева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Принятые нормативные </w:t>
            </w:r>
            <w:r>
              <w:rPr>
                <w:szCs w:val="24"/>
              </w:rPr>
              <w:lastRenderedPageBreak/>
              <w:t>правовые акты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I−IV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20 федеральных законов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D1E" w:rsidTr="00E86E63"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1E" w:rsidRDefault="00C80D1E" w:rsidP="00C80D1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(блок мероприятий) 7.2. Управление реализацией стратегических документов в сфере транспорта</w:t>
            </w:r>
          </w:p>
        </w:tc>
      </w:tr>
      <w:tr w:rsidR="00C80D1E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7.2.1.</w:t>
            </w:r>
          </w:p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Мониторинг реализации Транспортной стратегии Российской Федерации </w:t>
            </w:r>
            <w:r>
              <w:rPr>
                <w:szCs w:val="24"/>
              </w:rPr>
              <w:br/>
              <w:t>на период до 2030 года</w:t>
            </w:r>
          </w:p>
          <w:p w:rsidR="00C80D1E" w:rsidRDefault="00C80D1E" w:rsidP="00E86E63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В.В. Грушников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 Министерства транспорта Российской Федерации</w:t>
            </w:r>
          </w:p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 реализации Транспортной стратегии Российской Федерации</w:t>
            </w:r>
          </w:p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на период</w:t>
            </w:r>
          </w:p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до 2030 года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1E" w:rsidRDefault="00C80D1E" w:rsidP="00E86E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II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1E" w:rsidRDefault="00C80D1E" w:rsidP="00E86E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II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Доклад о реализации Транспортной стратегии Российской Федерации на период до 2030 года направлен в Минэкономразвития России, размещен на официальном сайте Минтранса России</w:t>
            </w:r>
            <w:r>
              <w:rPr>
                <w:szCs w:val="24"/>
              </w:rPr>
              <w:br/>
              <w:t>в информационно-телекоммуникационной сети «Интернет» http://mintrans.ru.</w:t>
            </w:r>
          </w:p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мероприятия направлена на повышение эффективности достижения целей, решения задач и реализации мероприятий Транспортной стратегии Российской Федерации на период до 2030 года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Распоряжением Правительства Российской Федерации</w:t>
            </w:r>
            <w:r>
              <w:rPr>
                <w:szCs w:val="24"/>
              </w:rPr>
              <w:br/>
              <w:t>от 27 ноября 2021 г.</w:t>
            </w:r>
            <w:r>
              <w:rPr>
                <w:szCs w:val="24"/>
              </w:rPr>
              <w:br/>
              <w:t>№ 3363-р</w:t>
            </w:r>
          </w:p>
          <w:p w:rsidR="00C80D1E" w:rsidRDefault="00C80D1E" w:rsidP="00E86E6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утверждена Транспортная стратегия Российской Федерации</w:t>
            </w:r>
            <w:r>
              <w:rPr>
                <w:szCs w:val="24"/>
              </w:rPr>
              <w:br/>
              <w:t>до 2030 года</w:t>
            </w:r>
            <w:r>
              <w:rPr>
                <w:szCs w:val="24"/>
              </w:rPr>
              <w:br/>
              <w:t>с прогнозом</w:t>
            </w:r>
            <w:r>
              <w:rPr>
                <w:szCs w:val="24"/>
              </w:rPr>
              <w:br/>
              <w:t>на период</w:t>
            </w:r>
            <w:r>
              <w:rPr>
                <w:szCs w:val="24"/>
              </w:rPr>
              <w:br/>
              <w:t>до 2035 года</w:t>
            </w:r>
          </w:p>
        </w:tc>
      </w:tr>
      <w:tr w:rsidR="00F6158C" w:rsidTr="000D1838">
        <w:trPr>
          <w:trHeight w:val="2790"/>
        </w:trPr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7.2.3.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прогноза социально-экономического развития Российской Федерации в части транспортного комплекса на среднесрочный период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В.В. Грушников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Разработан прогноз социально-экономического развития Российской Федерации</w:t>
            </w:r>
            <w:r>
              <w:rPr>
                <w:szCs w:val="24"/>
              </w:rPr>
              <w:br/>
              <w:t>в части транспортного комплекса</w:t>
            </w:r>
            <w:r>
              <w:rPr>
                <w:szCs w:val="24"/>
              </w:rPr>
              <w:br/>
              <w:t>на среднесрочный период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 прогноза социально-экономического развития</w:t>
            </w:r>
            <w:r>
              <w:rPr>
                <w:rFonts w:ascii="Times New Roman" w:hAnsi="Times New Roman"/>
                <w:color w:val="C921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транспортного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2022 год и на плановый период 2023 и 2024 годов направлены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Минэкономразвития России письмами Минтранса России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13 июля 2021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 ВД-Д9-22/12414 и от 10 ноября 2021 г. № АК-Д9-22/21724. Реализация мероприятия направлена на определение параметров развития транспортной системы на среднесрочный период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макроэкономическими сценариями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616029">
        <w:trPr>
          <w:trHeight w:val="1547"/>
        </w:trPr>
        <w:tc>
          <w:tcPr>
            <w:tcW w:w="44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7.2.4.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Публичной декларации ключевых целей и приоритетных задач Министерства транспорта Российской Федерации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В.В. Грушников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Соисполнители: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А.С. Бакирей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А.А. Демьянов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Ересько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Д.А. Киселева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В.В. Клюев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М.А. Кокаев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Малышева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К.А. Пашков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С.А. Петрова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Д.А. Поплаухин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А.А. Сапетко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А.А. Федорчук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Шилов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Утверждена Публичная декларация ключевых целей и приоритетных задач Министерства транспорта Российской Федерации</w:t>
            </w:r>
            <w:r>
              <w:rPr>
                <w:szCs w:val="24"/>
              </w:rPr>
              <w:br/>
              <w:t>на очередной год</w:t>
            </w:r>
          </w:p>
        </w:tc>
        <w:tc>
          <w:tcPr>
            <w:tcW w:w="1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II квартал</w:t>
            </w:r>
          </w:p>
        </w:tc>
        <w:tc>
          <w:tcPr>
            <w:tcW w:w="1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II квартал</w:t>
            </w:r>
          </w:p>
        </w:tc>
        <w:tc>
          <w:tcPr>
            <w:tcW w:w="3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Министром транспорта Российской Федерации 27 мая 2021 г. утверждена Публичная декларация ключевых целей и приоритетных задач Министерства транспорта Российской Федерации на 2021 год</w:t>
            </w:r>
          </w:p>
        </w:tc>
        <w:tc>
          <w:tcPr>
            <w:tcW w:w="2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838" w:rsidTr="00616029">
        <w:trPr>
          <w:trHeight w:val="271"/>
        </w:trPr>
        <w:tc>
          <w:tcPr>
            <w:tcW w:w="44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7.2.5.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годового отчета о ходе реализации пилотной государственной программы Российской Федерации «Развитие транспортной системы» и об оценке ее эффективности</w:t>
            </w:r>
          </w:p>
          <w:p w:rsidR="000D1838" w:rsidRDefault="000D1838" w:rsidP="000D1838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Д.А. Киселева</w:t>
            </w:r>
          </w:p>
          <w:p w:rsidR="000D1838" w:rsidRDefault="000D1838" w:rsidP="000D1838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Соисполнители: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А.С. Бакирей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В.В. Грушников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А.А. Демьянов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Ересько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В.В. Клюев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М.А. Кокаев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Малышева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К.А. Пашков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С.А. Петрова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Д.А. Поплаухин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А.А. Сапетко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А.А. Федорчук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Шилов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Годовой отчет</w:t>
            </w:r>
            <w:r>
              <w:rPr>
                <w:szCs w:val="24"/>
              </w:rPr>
              <w:br/>
              <w:t>о ходе реализации пилотной государственной программы Российской Федерации «Развитие транспортной системы»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 об оценке</w:t>
            </w:r>
            <w:r>
              <w:rPr>
                <w:szCs w:val="24"/>
              </w:rPr>
              <w:br/>
              <w:t>ее эффективности направлен</w:t>
            </w:r>
            <w:r>
              <w:rPr>
                <w:szCs w:val="24"/>
              </w:rPr>
              <w:br/>
              <w:t>в Правительство Российской Федерации, Министерство экономического развития Российской Федерации, Министерство финансов Российской Федерации</w:t>
            </w:r>
          </w:p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установленном </w:t>
            </w:r>
            <w:r>
              <w:rPr>
                <w:szCs w:val="24"/>
              </w:rPr>
              <w:lastRenderedPageBreak/>
              <w:t>порядке</w:t>
            </w:r>
            <w:bookmarkStart w:id="11" w:name="_GoBack"/>
            <w:bookmarkEnd w:id="11"/>
          </w:p>
        </w:tc>
        <w:tc>
          <w:tcPr>
            <w:tcW w:w="1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0D183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II квартал</w:t>
            </w:r>
          </w:p>
        </w:tc>
        <w:tc>
          <w:tcPr>
            <w:tcW w:w="1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0D183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II квартал</w:t>
            </w:r>
          </w:p>
        </w:tc>
        <w:tc>
          <w:tcPr>
            <w:tcW w:w="3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0D183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 о ходе реализации и оценке эффективности государственной программы Российской Федерации «Развитие транспортной системы» направлен в Минэкономразвития России, Минфин России, Правительство Российской Федерации в установленном порядке.</w:t>
            </w:r>
          </w:p>
          <w:p w:rsidR="000D1838" w:rsidRDefault="000D1838" w:rsidP="000D183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мероприятия направлена на повышение эффективности функционирования государственной программы</w:t>
            </w:r>
          </w:p>
        </w:tc>
        <w:tc>
          <w:tcPr>
            <w:tcW w:w="2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0D183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6FE" w:rsidTr="001B171C">
        <w:trPr>
          <w:trHeight w:val="271"/>
        </w:trPr>
        <w:tc>
          <w:tcPr>
            <w:tcW w:w="44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FE" w:rsidRDefault="00C246FE" w:rsidP="001B171C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7.2.6.</w:t>
            </w:r>
          </w:p>
          <w:p w:rsidR="00C246FE" w:rsidRDefault="00C246FE" w:rsidP="001B171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 и внесение в нее изменений</w:t>
            </w:r>
          </w:p>
          <w:p w:rsidR="00C246FE" w:rsidRDefault="00C246FE" w:rsidP="001B171C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C246FE" w:rsidRDefault="00C246FE" w:rsidP="001B171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В.В. Грушников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FE" w:rsidRDefault="00C246FE" w:rsidP="001B171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Приняты распоряжения Правительства Российской Федерации</w:t>
            </w:r>
          </w:p>
        </w:tc>
        <w:tc>
          <w:tcPr>
            <w:tcW w:w="1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FE" w:rsidRDefault="00C246FE" w:rsidP="001B171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1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FE" w:rsidRDefault="00C246FE" w:rsidP="001B171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3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6FE" w:rsidRDefault="00C246FE" w:rsidP="001B171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2021 году Минтрансом России обеспечена подготовка и принятие</w:t>
            </w:r>
          </w:p>
          <w:p w:rsidR="00C246FE" w:rsidRDefault="00C246FE" w:rsidP="001B171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6 распоряжений Правительства Российской Федерации</w:t>
            </w:r>
            <w:r>
              <w:rPr>
                <w:szCs w:val="24"/>
              </w:rPr>
              <w:br/>
              <w:t>по внесению изменений в схему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</w:t>
            </w:r>
            <w:r>
              <w:rPr>
                <w:szCs w:val="24"/>
              </w:rPr>
              <w:br/>
              <w:t>в отношении 26 объектов:</w:t>
            </w:r>
          </w:p>
          <w:p w:rsidR="00C246FE" w:rsidRDefault="00C246FE" w:rsidP="001B171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 22 января 2021 г. № 112-р −</w:t>
            </w:r>
            <w:r>
              <w:rPr>
                <w:szCs w:val="24"/>
              </w:rPr>
              <w:br/>
              <w:t>в части строительства двухпутной вставки с примыканием к станции Тойма пропускной способностью 33 пары поездов в сутки на участке Тихоново – Тойма, реконструкции железнодорожных станций Кинель, Казинка, Чугун II;</w:t>
            </w:r>
          </w:p>
          <w:p w:rsidR="00C246FE" w:rsidRDefault="00C246FE" w:rsidP="001B171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 9 апреля 2021 г. № 926-р –</w:t>
            </w:r>
            <w:r>
              <w:rPr>
                <w:szCs w:val="24"/>
              </w:rPr>
              <w:br/>
              <w:t>в части строительства аэропортового комплекса «Левашово» (за исключением объектов концессионного соглашения) пропускной способностью 250 пасс. в час;</w:t>
            </w:r>
          </w:p>
          <w:p w:rsidR="00C246FE" w:rsidRDefault="00C246FE" w:rsidP="001B171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 23 июня 2021 г. № 1697-р −</w:t>
            </w:r>
            <w:r>
              <w:rPr>
                <w:szCs w:val="24"/>
              </w:rPr>
              <w:br/>
              <w:t>в части строительства терминала по перегрузке навалочных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lastRenderedPageBreak/>
              <w:t>и генеральных грузов проектной мощностью 2,5 млн. тонн в год, изменения трассировки, строящейся скоростной автомобильной дороги М-12 Москва − Нижний Новгород − Казань, строительства скоростной автомобильной дороги категории IБ с 4−6 полосами движения</w:t>
            </w:r>
            <w:r>
              <w:rPr>
                <w:szCs w:val="24"/>
              </w:rPr>
              <w:br/>
              <w:t>с последующей эксплуатацией</w:t>
            </w:r>
            <w:r>
              <w:rPr>
                <w:szCs w:val="24"/>
              </w:rPr>
              <w:br/>
              <w:t>на платной основе;</w:t>
            </w:r>
          </w:p>
          <w:p w:rsidR="00C246FE" w:rsidRDefault="00C246FE" w:rsidP="001B171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 25 июня 2021 г. № 1723-р −</w:t>
            </w:r>
            <w:r>
              <w:rPr>
                <w:szCs w:val="24"/>
              </w:rPr>
              <w:br/>
              <w:t>в части строительства</w:t>
            </w:r>
            <w:r>
              <w:rPr>
                <w:szCs w:val="24"/>
              </w:rPr>
              <w:br/>
              <w:t>и реконструкции аэропортового комплекса Улан-Удэ «Байкал»;</w:t>
            </w:r>
          </w:p>
          <w:p w:rsidR="00C246FE" w:rsidRDefault="00C246FE" w:rsidP="001B171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 29 сентября 2021 г. № 2734-р −</w:t>
            </w:r>
            <w:r>
              <w:rPr>
                <w:szCs w:val="24"/>
              </w:rPr>
              <w:br/>
              <w:t>в части строительства высокоскоростной (специализированной) железнодорожной магистрали Москва − Санкт-Петербург</w:t>
            </w:r>
            <w:r>
              <w:rPr>
                <w:szCs w:val="24"/>
              </w:rPr>
              <w:br/>
              <w:t>со строительством железнодорожных станций Жаровская ВСМ, Великий Новгород ВСМ, Окуловка ВСМ, Выползово ВСМ, Садва ВСМ, Логовежь ВСМ, Новая Тверь ВСМ, Высоково ВСМ, Обухово-2 ВСМ, Горки ВСМ, Москва-Техническая ВСМ и реконструкцией станций Москва-Пассажирская, Санкт-Петербург-Главный;</w:t>
            </w:r>
          </w:p>
          <w:p w:rsidR="00C246FE" w:rsidRDefault="00C246FE" w:rsidP="001B171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от 10 ноября 2021 г. № 3151-р −</w:t>
            </w:r>
            <w:r>
              <w:rPr>
                <w:szCs w:val="24"/>
              </w:rPr>
              <w:br/>
              <w:t>в части реконструкции станции Братск, строительства участка обхода г. Рязани автомобильной дороги М-5 «Урал» Москва – Рязань – Пенза – Самара – Уфа – Челябинск, строительства универсального морского терминала генеральных</w:t>
            </w:r>
            <w:r>
              <w:rPr>
                <w:szCs w:val="24"/>
              </w:rPr>
              <w:br/>
              <w:t>и навалочных грузов мощностью</w:t>
            </w:r>
            <w:r>
              <w:rPr>
                <w:szCs w:val="24"/>
              </w:rPr>
              <w:br/>
              <w:t>13 млн. тонн в год в г. Усть-Луге, реконструкции соединительной ветви железнодорожной линии общего пользования № 15</w:t>
            </w:r>
            <w:r>
              <w:rPr>
                <w:szCs w:val="24"/>
              </w:rPr>
              <w:br/>
              <w:t>и строительства железнодорожной линии общего пользования соединительной ветви № 30</w:t>
            </w:r>
          </w:p>
        </w:tc>
        <w:tc>
          <w:tcPr>
            <w:tcW w:w="2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FE" w:rsidRDefault="00C246FE" w:rsidP="000D183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A92398">
        <w:trPr>
          <w:trHeight w:val="380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(блок мероприятий) 7.3. Содействие инновационному развитию транспортного комплекса</w:t>
            </w: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Мероприятие 7.3.1.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государственных закупок инновационных видов продукции, в том числе из Перечня, рекомендованного Рабочей группой Министерства транспорта Российской Федерации по импортозамещению и повышению инновационности государственных закупок в транспортном комплексе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 исполнители: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Д.А. Поплаухин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Р.В. Новиков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Нерадько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И.Ю. Коваль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Лаврищев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ind w:left="35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Отчет</w:t>
            </w:r>
            <w:r>
              <w:rPr>
                <w:szCs w:val="24"/>
              </w:rPr>
              <w:br/>
              <w:t>о выполнении планов показателей деятельности федеральной службы</w:t>
            </w:r>
            <w:r>
              <w:rPr>
                <w:szCs w:val="24"/>
              </w:rPr>
              <w:br/>
              <w:t>и федеральных агентств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планах показателей деятельности федеральной службы</w:t>
            </w:r>
            <w:r>
              <w:rPr>
                <w:szCs w:val="24"/>
              </w:rPr>
              <w:br/>
              <w:t xml:space="preserve">и федеральных агентств, находящихся в ведении Минтранса России, на 2021 год установлена величина показателя «Осуществление государственных закупок инновационных видов продукции, в том числе из Перечня, рекомендованного Рабочей группой Министерства транспорта Российской Федерации по импортозамещению и повышению </w:t>
            </w:r>
            <w:r>
              <w:rPr>
                <w:szCs w:val="24"/>
              </w:rPr>
              <w:lastRenderedPageBreak/>
              <w:t>инновационности государственных закупок в транспортном комплексе, утвержденной распоряжением Минтранса России от 20 сентября 2016 г. № МС-131-р» в размере не менее 0,5 % от годового объема закупок (приказ Минтранса России</w:t>
            </w:r>
            <w:r>
              <w:rPr>
                <w:szCs w:val="24"/>
              </w:rPr>
              <w:br/>
              <w:t>от 31 марта 2021 г. № 111).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 оперативной информации, запланированная величина достигнута и будет уточнена при представлении соответствующего отчета в установленные сроки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838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0D183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Мероприятие 7.3.3.</w:t>
            </w:r>
          </w:p>
          <w:p w:rsidR="000D1838" w:rsidRDefault="000D1838" w:rsidP="000D183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доли закупок у субъектов малого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социально ориентированных некоммерческих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совокупном годовом объеме закупок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законодательством Российской Федерации о контрактной системе в сфере закупок</w:t>
            </w:r>
          </w:p>
          <w:p w:rsidR="000D1838" w:rsidRDefault="000D1838" w:rsidP="000D1838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исполнители:</w:t>
            </w:r>
          </w:p>
          <w:p w:rsidR="000D1838" w:rsidRDefault="000D1838" w:rsidP="000D183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Грушников</w:t>
            </w:r>
          </w:p>
          <w:p w:rsidR="000D1838" w:rsidRDefault="000D1838" w:rsidP="000D183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Бакирей</w:t>
            </w:r>
          </w:p>
          <w:p w:rsidR="000D1838" w:rsidRDefault="000D1838" w:rsidP="000D183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К.А. Пашков</w:t>
            </w:r>
          </w:p>
          <w:p w:rsidR="000D1838" w:rsidRDefault="000D1838" w:rsidP="000D183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 Поплаухин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0D1838">
            <w:pPr>
              <w:widowControl w:val="0"/>
              <w:ind w:left="35"/>
              <w:jc w:val="both"/>
              <w:rPr>
                <w:szCs w:val="24"/>
              </w:rPr>
            </w:pPr>
            <w:r>
              <w:rPr>
                <w:szCs w:val="24"/>
              </w:rPr>
              <w:t>Отчет Министерства транспорта Российской Федерации</w:t>
            </w:r>
          </w:p>
          <w:p w:rsidR="000D1838" w:rsidRDefault="000D1838" w:rsidP="000D1838">
            <w:pPr>
              <w:widowControl w:val="0"/>
              <w:ind w:left="35"/>
              <w:jc w:val="both"/>
              <w:rPr>
                <w:szCs w:val="24"/>
              </w:rPr>
            </w:pPr>
            <w:r>
              <w:rPr>
                <w:szCs w:val="24"/>
              </w:rPr>
              <w:t>об объеме закупок</w:t>
            </w:r>
            <w:r w:rsidRPr="000D1838">
              <w:rPr>
                <w:szCs w:val="24"/>
              </w:rPr>
              <w:t xml:space="preserve"> </w:t>
            </w:r>
            <w:r>
              <w:rPr>
                <w:szCs w:val="24"/>
              </w:rPr>
              <w:t>у субъектов малого предпринимательства</w:t>
            </w:r>
          </w:p>
          <w:p w:rsidR="000D1838" w:rsidRDefault="000D1838" w:rsidP="000D1838">
            <w:pPr>
              <w:widowControl w:val="0"/>
              <w:ind w:left="35"/>
              <w:jc w:val="both"/>
              <w:rPr>
                <w:szCs w:val="24"/>
              </w:rPr>
            </w:pPr>
            <w:r>
              <w:rPr>
                <w:szCs w:val="24"/>
              </w:rPr>
              <w:t>и социально ориентированных некоммерческих организаций</w:t>
            </w:r>
          </w:p>
          <w:p w:rsidR="001509AD" w:rsidRDefault="001509AD" w:rsidP="00C246FE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0D183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0D1838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I−IV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9D2779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5 апреля 2013 г. № 44-ФЗ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 контрактной системе в сфере закупок товаров, работ, услуг для обеспечения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муниципальных нужд» срок составления и размещения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единой информационной системе отчета об объеме закупок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 субъектов малого предпринимательства, социально ориентированных некоммерческих организаций установлен</w:t>
            </w:r>
            <w:r w:rsidR="009D2779">
              <w:rPr>
                <w:rFonts w:ascii="Times New Roman" w:hAnsi="Times New Roman"/>
                <w:sz w:val="24"/>
                <w:szCs w:val="24"/>
              </w:rPr>
              <w:br/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апреля года, следующего</w:t>
            </w:r>
            <w:r w:rsidR="009D277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 отчетным годом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38" w:rsidRDefault="000D1838" w:rsidP="000D183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7.3.6.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планов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(«дорожных карт») «Автонет», «Маринет», «Аэронет» Национальной технологической инициативы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Д.А. Поплаухин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Петрова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Шилов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Клюев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Р.В. Новиков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Нерадько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И.Ю. Коваль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Лаврищев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ind w:left="35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В соответствии</w:t>
            </w:r>
            <w:r>
              <w:rPr>
                <w:szCs w:val="24"/>
              </w:rPr>
              <w:br/>
              <w:t xml:space="preserve">с контрольными </w:t>
            </w:r>
            <w:r>
              <w:rPr>
                <w:szCs w:val="24"/>
              </w:rPr>
              <w:lastRenderedPageBreak/>
              <w:t>результатами реализации планов мероприятий «дорожных карт» «Автонет», «Маринет», «Аэронет» Национальной технологической инициативы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I−IV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FE" w:rsidRDefault="0031438E">
            <w:pPr>
              <w:widowControl w:val="0"/>
              <w:jc w:val="both"/>
              <w:rPr>
                <w:szCs w:val="24"/>
              </w:rPr>
            </w:pPr>
            <w:bookmarkStart w:id="12" w:name="_Hlk63763897"/>
            <w:r>
              <w:rPr>
                <w:szCs w:val="24"/>
              </w:rPr>
              <w:t xml:space="preserve">В 2021 году в рамках планов мероприятий Национальной </w:t>
            </w:r>
            <w:r>
              <w:rPr>
                <w:szCs w:val="24"/>
              </w:rPr>
              <w:lastRenderedPageBreak/>
              <w:t>технологической инициативы в Правительство Российской Федерации внесен проект постановления Российской Федерации «О внесении изменений в Положение о проведении эксперимента по опытной эксплуатации на автомобильных дорогах общего пользования высокоавтоматизированных транспортных средств, утвержденное постановлением Правительства Российской Федерации от 26 ноября 2018 г.</w:t>
            </w:r>
            <w:r>
              <w:rPr>
                <w:szCs w:val="24"/>
              </w:rPr>
              <w:br/>
              <w:t>№ 1415» (пункт 16 (1) плана мероприятий «Автонет»), принят Федеральный закон</w:t>
            </w:r>
            <w:bookmarkEnd w:id="12"/>
            <w:r>
              <w:rPr>
                <w:szCs w:val="24"/>
              </w:rPr>
              <w:t xml:space="preserve"> от 24 февраля 2021 г. № 26-ФЗ «О внесении изменений в Федеральный закон       «Устав автомобильного транспорта и городского наземного электрического транспорта» (пункт 19 плана мероприятий «Автонет»), Федеральный закон от 30 декабря 2021 г. № 488-ФЗ  «О внесении изменений в Воздушный кодекс Российской Федерации» (пункт 9 плана мероприятий «Аэронет»),</w:t>
            </w:r>
            <w:r>
              <w:rPr>
                <w:szCs w:val="24"/>
              </w:rPr>
              <w:br/>
              <w:t xml:space="preserve">а также разработаны проекты федеральных законов «О внесении изменений в отдельные законодательные акты Российской </w:t>
            </w:r>
            <w:r>
              <w:rPr>
                <w:szCs w:val="24"/>
              </w:rPr>
              <w:lastRenderedPageBreak/>
              <w:t>Федерации в части отмены государственной регистрации прав на воздушные суда и сделок</w:t>
            </w:r>
            <w:r>
              <w:rPr>
                <w:szCs w:val="24"/>
              </w:rPr>
              <w:br/>
              <w:t>с ними», «О внесении изменений</w:t>
            </w:r>
            <w:r>
              <w:rPr>
                <w:szCs w:val="24"/>
              </w:rPr>
              <w:br/>
              <w:t>в часть первую и третью Гражданского кодекса Российской Федерации в части отмены государственной регистрации прав на воздушные суда и сделок</w:t>
            </w:r>
            <w:r>
              <w:rPr>
                <w:szCs w:val="24"/>
              </w:rPr>
              <w:br/>
              <w:t>с ними» (пункт 1 плана мероприятий «Аэронет»)</w:t>
            </w:r>
            <w:r>
              <w:rPr>
                <w:szCs w:val="24"/>
              </w:rPr>
              <w:br/>
              <w:t>и «О внесении изменений</w:t>
            </w:r>
            <w:r>
              <w:rPr>
                <w:szCs w:val="24"/>
              </w:rPr>
              <w:br/>
              <w:t>в отдельные законодательные акты (в части систематизации обязательных требований в сфере воздушного транспорта)» (пункт 7 плана мероприятий «Аэронет»)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widowControl w:val="0"/>
              <w:jc w:val="both"/>
              <w:rPr>
                <w:szCs w:val="24"/>
                <w:highlight w:val="yellow"/>
              </w:rPr>
            </w:pPr>
          </w:p>
        </w:tc>
      </w:tr>
      <w:tr w:rsidR="00F6158C" w:rsidTr="000D1838"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Мероприятие 7.3.7.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ежегодного мониторинга стоимости строительства, реконструкции, капитального ремонта, ремонта и содержания 1 км автомобильных дорог общего пользования Российской Федерации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исполнитель:</w:t>
            </w:r>
          </w:p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А.В. Шилов</w:t>
            </w:r>
          </w:p>
          <w:p w:rsidR="00F6158C" w:rsidRDefault="0031438E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Соисполнитель: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Набоко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 w:rsidP="000D1838">
            <w:pPr>
              <w:widowControl w:val="0"/>
              <w:ind w:left="35"/>
              <w:jc w:val="both"/>
              <w:rPr>
                <w:szCs w:val="24"/>
              </w:rPr>
            </w:pPr>
            <w:r>
              <w:rPr>
                <w:szCs w:val="24"/>
              </w:rPr>
              <w:t>Доклад</w:t>
            </w:r>
            <w:r w:rsidR="000D1838" w:rsidRPr="000D1838">
              <w:rPr>
                <w:szCs w:val="24"/>
              </w:rPr>
              <w:t xml:space="preserve"> </w:t>
            </w:r>
            <w:r w:rsidR="000D1838">
              <w:rPr>
                <w:szCs w:val="24"/>
              </w:rPr>
              <w:t>о </w:t>
            </w:r>
            <w:r>
              <w:rPr>
                <w:szCs w:val="24"/>
              </w:rPr>
              <w:t>стоимости строительства, реконструкции, капитального ремонта, ремонта и содержания</w:t>
            </w:r>
            <w:r>
              <w:rPr>
                <w:szCs w:val="24"/>
              </w:rPr>
              <w:br/>
              <w:t>1 км автомобильных дорог общего пользования Российской Федерации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Доклад о стоимости строительства, реконструкции, капитального ремонта, ремонта и содержания</w:t>
            </w:r>
            <w:r>
              <w:rPr>
                <w:szCs w:val="24"/>
              </w:rPr>
              <w:br/>
              <w:t>1 км автомобильных дорог общего пользования Российской Федерации размещен на официальном сайте Минтранса России в инфор</w:t>
            </w:r>
            <w:bookmarkStart w:id="13" w:name="__DdeLink__11989_3561803995"/>
            <w:r>
              <w:rPr>
                <w:szCs w:val="24"/>
              </w:rPr>
              <w:t>мационно-телекоммуникационной сети «Интерне</w:t>
            </w:r>
            <w:bookmarkEnd w:id="13"/>
            <w:r>
              <w:rPr>
                <w:szCs w:val="24"/>
              </w:rPr>
              <w:t>т» (https://mintrans.gov.ru</w:t>
            </w:r>
            <w:r>
              <w:rPr>
                <w:szCs w:val="24"/>
              </w:rPr>
              <w:br/>
              <w:t>/activities/215/documents)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widowControl w:val="0"/>
              <w:jc w:val="both"/>
              <w:rPr>
                <w:szCs w:val="24"/>
              </w:rPr>
            </w:pPr>
          </w:p>
        </w:tc>
      </w:tr>
      <w:tr w:rsidR="00F6158C" w:rsidTr="00A92398">
        <w:trPr>
          <w:trHeight w:val="940"/>
        </w:trPr>
        <w:tc>
          <w:tcPr>
            <w:tcW w:w="15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6FE" w:rsidRPr="00C246FE" w:rsidRDefault="00C246FE">
            <w:pPr>
              <w:pStyle w:val="ConsPlusNormal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(блок мероприятий) 7.5. Обеспечение органов управления транспортным комплексом информацией о состоянии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и ходе развития транспортной системы, ее безопасности и устойчивости, прогнозе спроса на транспортные услуги по результатам анализа до 1600 обрабатываемых показателей</w:t>
            </w:r>
          </w:p>
          <w:p w:rsidR="00C246FE" w:rsidRPr="00C246FE" w:rsidRDefault="00C246FE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2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7.5.</w:t>
            </w:r>
          </w:p>
          <w:p w:rsidR="00C80D1E" w:rsidRDefault="0031438E" w:rsidP="00C9183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показателей, обрабатываемых в централизованном банке данных информационно-аналитической системы регулирования на транспорте, характеризующих состояние транспортной системы, единиц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2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7.5.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Коэффициент бесперебойной работы</w:t>
            </w:r>
            <w:r>
              <w:rPr>
                <w:szCs w:val="24"/>
              </w:rPr>
              <w:br/>
              <w:t>информационно-аналитической системы регулирования на транспорте, %</w:t>
            </w:r>
          </w:p>
          <w:p w:rsidR="00C80D1E" w:rsidRDefault="00C80D1E">
            <w:pPr>
              <w:widowControl w:val="0"/>
              <w:ind w:left="720"/>
              <w:jc w:val="both"/>
              <w:rPr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99,3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2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7.5.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подключенных к информационно-аналитической системе регулирования на транспорте субъектов Российской Федерации</w:t>
            </w:r>
            <w:r>
              <w:rPr>
                <w:szCs w:val="24"/>
              </w:rPr>
              <w:br/>
              <w:t>и их информационных источников, единиц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numPr>
                <w:ilvl w:val="0"/>
                <w:numId w:val="2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 направления (блока мероприятий) 7.5.</w:t>
            </w:r>
          </w:p>
          <w:p w:rsidR="00F6158C" w:rsidRDefault="0031438E">
            <w:pPr>
              <w:widowControl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(доля) инфраструктурных проектов в сфере транспорта, реализуемых</w:t>
            </w:r>
            <w:r>
              <w:rPr>
                <w:szCs w:val="24"/>
              </w:rPr>
              <w:br/>
              <w:t>с привлечением государственного финансирования, подготовка и/или реализация которых осуществляется с использованием системы эффективного транспортного планирования в составе информационно-аналитической системы регулирования на транспорте, %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направления соответствует плановому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8C" w:rsidTr="000D1838">
        <w:trPr>
          <w:trHeight w:val="594"/>
        </w:trPr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Мероприятие 7.5.1.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ведомственной целевой программы «Цифровая платформа транспортного комплекса Российской Федерации»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исполнитель:</w:t>
            </w:r>
          </w:p>
          <w:p w:rsidR="00F6158C" w:rsidRDefault="003143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 Поплаухин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 w:rsidP="000D1838">
            <w:pPr>
              <w:widowControl w:val="0"/>
              <w:ind w:left="35"/>
              <w:jc w:val="both"/>
              <w:rPr>
                <w:szCs w:val="24"/>
              </w:rPr>
            </w:pPr>
            <w:r>
              <w:rPr>
                <w:szCs w:val="24"/>
              </w:rPr>
              <w:t>Отчет</w:t>
            </w:r>
            <w:r w:rsidR="000D1838">
              <w:rPr>
                <w:szCs w:val="24"/>
                <w:lang w:val="en-US"/>
              </w:rPr>
              <w:t xml:space="preserve"> </w:t>
            </w:r>
            <w:r w:rsidR="000D1838">
              <w:rPr>
                <w:szCs w:val="24"/>
              </w:rPr>
              <w:t>о </w:t>
            </w:r>
            <w:r>
              <w:rPr>
                <w:szCs w:val="24"/>
              </w:rPr>
              <w:t>реализации</w:t>
            </w:r>
            <w:r w:rsidR="000D1838">
              <w:rPr>
                <w:szCs w:val="24"/>
                <w:lang w:val="en-US"/>
              </w:rPr>
              <w:t xml:space="preserve"> </w:t>
            </w:r>
            <w:r w:rsidR="000D1838">
              <w:rPr>
                <w:szCs w:val="24"/>
              </w:rPr>
              <w:t>ГП </w:t>
            </w:r>
            <w:r>
              <w:rPr>
                <w:szCs w:val="24"/>
              </w:rPr>
              <w:t>24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I−IV кварталы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31438E" w:rsidP="009954A2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Hlk63766124"/>
            <w:r>
              <w:rPr>
                <w:rFonts w:ascii="Times New Roman" w:hAnsi="Times New Roman"/>
                <w:sz w:val="24"/>
                <w:szCs w:val="24"/>
              </w:rPr>
              <w:t>В 2021 году количество показателей, обрабатываемых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централизованном банке данных информационно-аналитической системы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транспорте, характеризующих состояние транспортной системы, составило 2200 единиц, коэффициент бесперебойной работы информационно-аналитической системы регулирования на транспорте составил 99,3 %,</w:t>
            </w:r>
            <w:r>
              <w:rPr>
                <w:rFonts w:ascii="Times New Roman" w:hAnsi="Times New Roman"/>
                <w:color w:val="C921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82 субъекта</w:t>
            </w:r>
            <w:r>
              <w:rPr>
                <w:rFonts w:ascii="Times New Roman" w:hAnsi="Times New Roman"/>
                <w:color w:val="C921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 и их информационны</w:t>
            </w:r>
            <w:r w:rsidR="009954A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  <w:r w:rsidR="009954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подключены к информационно-аналитической системе регулирования на транспорте, количество (доля) инфраструктурных проектов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сфере транспорта, реализуемых с привлечением государственного финансирования, подготовка и/или реализация которых осуществляется с использованием системы эффективного транспортного планирования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составе информационно-аналитической системы регулирования на транспорте, составило 30 %</w:t>
            </w:r>
            <w:bookmarkEnd w:id="14"/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8C" w:rsidRDefault="00F6158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58C" w:rsidRDefault="00F6158C">
      <w:pPr>
        <w:ind w:right="252"/>
        <w:jc w:val="both"/>
      </w:pPr>
    </w:p>
    <w:sectPr w:rsidR="00F6158C" w:rsidSect="0057221F">
      <w:headerReference w:type="default" r:id="rId8"/>
      <w:pgSz w:w="16838" w:h="11906" w:orient="landscape"/>
      <w:pgMar w:top="709" w:right="567" w:bottom="851" w:left="1134" w:header="70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BBA" w:rsidRDefault="00C80BBA" w:rsidP="00F6158C">
      <w:r>
        <w:separator/>
      </w:r>
    </w:p>
  </w:endnote>
  <w:endnote w:type="continuationSeparator" w:id="0">
    <w:p w:rsidR="00C80BBA" w:rsidRDefault="00C80BBA" w:rsidP="00F61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NewRomanPSMT"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BBA" w:rsidRDefault="00C80BBA">
      <w:pPr>
        <w:rPr>
          <w:sz w:val="12"/>
        </w:rPr>
      </w:pPr>
      <w:r>
        <w:separator/>
      </w:r>
    </w:p>
  </w:footnote>
  <w:footnote w:type="continuationSeparator" w:id="0">
    <w:p w:rsidR="00C80BBA" w:rsidRDefault="00C80BBA">
      <w:pPr>
        <w:rPr>
          <w:sz w:val="12"/>
        </w:rPr>
      </w:pPr>
      <w:r>
        <w:continuationSeparator/>
      </w:r>
    </w:p>
  </w:footnote>
  <w:footnote w:id="1">
    <w:p w:rsidR="001B171C" w:rsidRDefault="001B171C" w:rsidP="008557A5">
      <w:pPr>
        <w:pStyle w:val="Footnote0"/>
        <w:widowControl w:val="0"/>
        <w:jc w:val="both"/>
      </w:pPr>
      <w:r>
        <w:rPr>
          <w:rStyle w:val="affb"/>
        </w:rPr>
        <w:footnoteRef/>
      </w:r>
      <w:r>
        <w:t xml:space="preserve"> Значения индикаторов направления (блока мероприятий) 4.1 указаны в соответствии с индикаторами реализации Комплексной программы обеспечения безопасности населения на транспорте, утвержденной распоряжением Правительства Российской Федерации от 30 июля 2010 г. № 1285-р (далее − КПОБ). В 2019−2021 годах средства</w:t>
      </w:r>
      <w:r>
        <w:br/>
        <w:t>на реализацию КПОБ в федеральном бюджете не предусматривались. Достижение указанных индикаторов и ожидаемых результатов по направлению (блоку мероприятий) 4.1 возможно при условии доведения в полном объеме средств федерального бюджета на реализацию соответствующих мероприятий КПОБ.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8709"/>
      <w:docPartObj>
        <w:docPartGallery w:val="Page Numbers (Top of Page)"/>
        <w:docPartUnique/>
      </w:docPartObj>
    </w:sdtPr>
    <w:sdtContent>
      <w:p w:rsidR="001B171C" w:rsidRDefault="001B171C">
        <w:pPr>
          <w:pStyle w:val="affc"/>
          <w:jc w:val="center"/>
        </w:pPr>
        <w:fldSimple w:instr=" PAGE   \* MERGEFORMAT ">
          <w:r w:rsidR="00DD29DF">
            <w:rPr>
              <w:noProof/>
            </w:rPr>
            <w:t>36</w:t>
          </w:r>
        </w:fldSimple>
      </w:p>
    </w:sdtContent>
  </w:sdt>
  <w:p w:rsidR="001B171C" w:rsidRDefault="001B171C">
    <w:pPr>
      <w:pStyle w:val="2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B69"/>
    <w:multiLevelType w:val="multilevel"/>
    <w:tmpl w:val="A41C5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7B383C"/>
    <w:multiLevelType w:val="multilevel"/>
    <w:tmpl w:val="4FFE2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082E98"/>
    <w:multiLevelType w:val="multilevel"/>
    <w:tmpl w:val="8354B6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3123C7D"/>
    <w:multiLevelType w:val="multilevel"/>
    <w:tmpl w:val="A072A2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D805C2"/>
    <w:multiLevelType w:val="multilevel"/>
    <w:tmpl w:val="3F0E57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D7E07C7"/>
    <w:multiLevelType w:val="multilevel"/>
    <w:tmpl w:val="20EEB0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E285D9E"/>
    <w:multiLevelType w:val="multilevel"/>
    <w:tmpl w:val="6338F4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F405B0C"/>
    <w:multiLevelType w:val="multilevel"/>
    <w:tmpl w:val="49C6B6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18279E1"/>
    <w:multiLevelType w:val="multilevel"/>
    <w:tmpl w:val="EF1A4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9397360"/>
    <w:multiLevelType w:val="multilevel"/>
    <w:tmpl w:val="096855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2E469B3"/>
    <w:multiLevelType w:val="multilevel"/>
    <w:tmpl w:val="A11649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59F2570"/>
    <w:multiLevelType w:val="multilevel"/>
    <w:tmpl w:val="E1FE71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B596450"/>
    <w:multiLevelType w:val="multilevel"/>
    <w:tmpl w:val="4D2CE1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0010A40"/>
    <w:multiLevelType w:val="multilevel"/>
    <w:tmpl w:val="B5E001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55876827"/>
    <w:multiLevelType w:val="multilevel"/>
    <w:tmpl w:val="DF08C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94A102A"/>
    <w:multiLevelType w:val="multilevel"/>
    <w:tmpl w:val="86363D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B821765"/>
    <w:multiLevelType w:val="multilevel"/>
    <w:tmpl w:val="85684D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BE32D93"/>
    <w:multiLevelType w:val="multilevel"/>
    <w:tmpl w:val="4D308F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70D84C4D"/>
    <w:multiLevelType w:val="multilevel"/>
    <w:tmpl w:val="DC52B4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45779EC"/>
    <w:multiLevelType w:val="multilevel"/>
    <w:tmpl w:val="3F529B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7AF85FB8"/>
    <w:multiLevelType w:val="multilevel"/>
    <w:tmpl w:val="BDC25D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BA24683"/>
    <w:multiLevelType w:val="multilevel"/>
    <w:tmpl w:val="B824BC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4"/>
  </w:num>
  <w:num w:numId="5">
    <w:abstractNumId w:val="9"/>
  </w:num>
  <w:num w:numId="6">
    <w:abstractNumId w:val="16"/>
  </w:num>
  <w:num w:numId="7">
    <w:abstractNumId w:val="19"/>
  </w:num>
  <w:num w:numId="8">
    <w:abstractNumId w:val="12"/>
  </w:num>
  <w:num w:numId="9">
    <w:abstractNumId w:val="2"/>
  </w:num>
  <w:num w:numId="10">
    <w:abstractNumId w:val="13"/>
  </w:num>
  <w:num w:numId="11">
    <w:abstractNumId w:val="0"/>
  </w:num>
  <w:num w:numId="12">
    <w:abstractNumId w:val="8"/>
  </w:num>
  <w:num w:numId="13">
    <w:abstractNumId w:val="20"/>
  </w:num>
  <w:num w:numId="14">
    <w:abstractNumId w:val="15"/>
  </w:num>
  <w:num w:numId="15">
    <w:abstractNumId w:val="11"/>
  </w:num>
  <w:num w:numId="16">
    <w:abstractNumId w:val="3"/>
  </w:num>
  <w:num w:numId="17">
    <w:abstractNumId w:val="10"/>
  </w:num>
  <w:num w:numId="18">
    <w:abstractNumId w:val="7"/>
  </w:num>
  <w:num w:numId="19">
    <w:abstractNumId w:val="18"/>
  </w:num>
  <w:num w:numId="20">
    <w:abstractNumId w:val="14"/>
  </w:num>
  <w:num w:numId="21">
    <w:abstractNumId w:val="2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6158C"/>
    <w:rsid w:val="000D1838"/>
    <w:rsid w:val="001274AF"/>
    <w:rsid w:val="001509AD"/>
    <w:rsid w:val="001B171C"/>
    <w:rsid w:val="0021067F"/>
    <w:rsid w:val="00227ECF"/>
    <w:rsid w:val="002D7A61"/>
    <w:rsid w:val="002F53A1"/>
    <w:rsid w:val="0031438E"/>
    <w:rsid w:val="00497017"/>
    <w:rsid w:val="0057221F"/>
    <w:rsid w:val="00592ED6"/>
    <w:rsid w:val="005E22B1"/>
    <w:rsid w:val="006034C2"/>
    <w:rsid w:val="00616029"/>
    <w:rsid w:val="007C4857"/>
    <w:rsid w:val="008557A5"/>
    <w:rsid w:val="008723BF"/>
    <w:rsid w:val="009954A2"/>
    <w:rsid w:val="009D2779"/>
    <w:rsid w:val="00A92398"/>
    <w:rsid w:val="00C246FE"/>
    <w:rsid w:val="00C72242"/>
    <w:rsid w:val="00C80BBA"/>
    <w:rsid w:val="00C80D1E"/>
    <w:rsid w:val="00C9183E"/>
    <w:rsid w:val="00DD29DF"/>
    <w:rsid w:val="00E265C2"/>
    <w:rsid w:val="00E75971"/>
    <w:rsid w:val="00E86E63"/>
    <w:rsid w:val="00F6158C"/>
    <w:rsid w:val="00F94439"/>
    <w:rsid w:val="00FB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ahoma" w:hAnsiTheme="minorHAnsi" w:cs="Droid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8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uiPriority w:val="9"/>
    <w:qFormat/>
    <w:rsid w:val="00F6158C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next w:val="a"/>
    <w:uiPriority w:val="9"/>
    <w:qFormat/>
    <w:rsid w:val="00F615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next w:val="a"/>
    <w:uiPriority w:val="9"/>
    <w:qFormat/>
    <w:rsid w:val="00F6158C"/>
    <w:pPr>
      <w:outlineLvl w:val="2"/>
    </w:pPr>
    <w:rPr>
      <w:rFonts w:ascii="XO Thames" w:hAnsi="XO Thames"/>
      <w:b/>
      <w:i/>
    </w:rPr>
  </w:style>
  <w:style w:type="paragraph" w:customStyle="1" w:styleId="41">
    <w:name w:val="Заголовок 41"/>
    <w:next w:val="a"/>
    <w:uiPriority w:val="9"/>
    <w:qFormat/>
    <w:rsid w:val="00F615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next w:val="a"/>
    <w:uiPriority w:val="9"/>
    <w:qFormat/>
    <w:rsid w:val="00F6158C"/>
    <w:pPr>
      <w:spacing w:before="120" w:after="120"/>
      <w:outlineLvl w:val="4"/>
    </w:pPr>
    <w:rPr>
      <w:rFonts w:ascii="XO Thames" w:hAnsi="XO Thames"/>
      <w:b/>
    </w:rPr>
  </w:style>
  <w:style w:type="character" w:customStyle="1" w:styleId="Contents2">
    <w:name w:val="Contents 2"/>
    <w:qFormat/>
    <w:rsid w:val="00F6158C"/>
  </w:style>
  <w:style w:type="character" w:customStyle="1" w:styleId="a3">
    <w:name w:val="Текст сноски Знак"/>
    <w:basedOn w:val="a0"/>
    <w:qFormat/>
    <w:rsid w:val="00F6158C"/>
    <w:rPr>
      <w:sz w:val="20"/>
    </w:rPr>
  </w:style>
  <w:style w:type="character" w:customStyle="1" w:styleId="Contents4">
    <w:name w:val="Contents 4"/>
    <w:qFormat/>
    <w:rsid w:val="00F6158C"/>
  </w:style>
  <w:style w:type="character" w:customStyle="1" w:styleId="1">
    <w:name w:val="Абзац списка1"/>
    <w:qFormat/>
    <w:rsid w:val="00F6158C"/>
    <w:rPr>
      <w:rFonts w:asciiTheme="minorHAnsi" w:hAnsiTheme="minorHAnsi"/>
      <w:sz w:val="22"/>
    </w:rPr>
  </w:style>
  <w:style w:type="character" w:customStyle="1" w:styleId="Contents6">
    <w:name w:val="Contents 6"/>
    <w:qFormat/>
    <w:rsid w:val="00F6158C"/>
  </w:style>
  <w:style w:type="character" w:customStyle="1" w:styleId="Contents7">
    <w:name w:val="Contents 7"/>
    <w:qFormat/>
    <w:rsid w:val="00F6158C"/>
  </w:style>
  <w:style w:type="character" w:customStyle="1" w:styleId="10">
    <w:name w:val="Название объекта1"/>
    <w:qFormat/>
    <w:rsid w:val="00F6158C"/>
    <w:rPr>
      <w:i/>
      <w:sz w:val="24"/>
    </w:rPr>
  </w:style>
  <w:style w:type="character" w:customStyle="1" w:styleId="13pt">
    <w:name w:val="Основной текст + 13 pt"/>
    <w:basedOn w:val="a4"/>
    <w:qFormat/>
    <w:rsid w:val="00F6158C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highlight w:val="white"/>
      <w:u w:val="none"/>
    </w:rPr>
  </w:style>
  <w:style w:type="character" w:customStyle="1" w:styleId="a5">
    <w:name w:val="Символ концевой сноски"/>
    <w:qFormat/>
    <w:rsid w:val="00F6158C"/>
  </w:style>
  <w:style w:type="character" w:customStyle="1" w:styleId="font10">
    <w:name w:val="font10"/>
    <w:qFormat/>
    <w:rsid w:val="00F6158C"/>
    <w:rPr>
      <w:color w:val="000000"/>
    </w:rPr>
  </w:style>
  <w:style w:type="character" w:customStyle="1" w:styleId="32">
    <w:name w:val="Заголовок 32"/>
    <w:qFormat/>
    <w:rsid w:val="00F6158C"/>
    <w:rPr>
      <w:rFonts w:ascii="XO Thames" w:hAnsi="XO Thames"/>
      <w:b/>
      <w:i/>
      <w:color w:val="000000"/>
    </w:rPr>
  </w:style>
  <w:style w:type="character" w:customStyle="1" w:styleId="12">
    <w:name w:val="Абзац списка1"/>
    <w:qFormat/>
    <w:rsid w:val="00F6158C"/>
  </w:style>
  <w:style w:type="character" w:customStyle="1" w:styleId="fontstyle01">
    <w:name w:val="fontstyle01"/>
    <w:basedOn w:val="a0"/>
    <w:qFormat/>
    <w:rsid w:val="00F6158C"/>
    <w:rPr>
      <w:rFonts w:ascii="TimesNewRomanPSMT" w:hAnsi="TimesNewRomanPSMT"/>
      <w:b w:val="0"/>
      <w:i w:val="0"/>
      <w:color w:val="000000"/>
      <w:sz w:val="22"/>
    </w:rPr>
  </w:style>
  <w:style w:type="character" w:customStyle="1" w:styleId="xl106">
    <w:name w:val="xl106"/>
    <w:qFormat/>
    <w:rsid w:val="00F6158C"/>
    <w:rPr>
      <w:color w:val="000000"/>
      <w:sz w:val="20"/>
    </w:rPr>
  </w:style>
  <w:style w:type="character" w:customStyle="1" w:styleId="a6">
    <w:name w:val="Символ сноски"/>
    <w:qFormat/>
    <w:rsid w:val="00F6158C"/>
  </w:style>
  <w:style w:type="character" w:customStyle="1" w:styleId="a7">
    <w:name w:val="Содержимое таблицы"/>
    <w:qFormat/>
    <w:rsid w:val="00F6158C"/>
    <w:rPr>
      <w:rFonts w:ascii="XO Thames" w:hAnsi="XO Thames"/>
      <w:color w:val="000000"/>
    </w:rPr>
  </w:style>
  <w:style w:type="character" w:customStyle="1" w:styleId="a4">
    <w:name w:val="Основной текст_"/>
    <w:qFormat/>
    <w:rsid w:val="00F6158C"/>
    <w:rPr>
      <w:sz w:val="26"/>
      <w:highlight w:val="white"/>
    </w:rPr>
  </w:style>
  <w:style w:type="character" w:customStyle="1" w:styleId="a8">
    <w:name w:val="Текст выноски Знак"/>
    <w:basedOn w:val="a0"/>
    <w:qFormat/>
    <w:rsid w:val="00F6158C"/>
    <w:rPr>
      <w:rFonts w:ascii="Segoe UI" w:hAnsi="Segoe UI"/>
      <w:sz w:val="18"/>
    </w:rPr>
  </w:style>
  <w:style w:type="character" w:customStyle="1" w:styleId="210">
    <w:name w:val="Основной текст 21"/>
    <w:qFormat/>
    <w:rsid w:val="00F6158C"/>
    <w:rPr>
      <w:sz w:val="28"/>
    </w:rPr>
  </w:style>
  <w:style w:type="character" w:customStyle="1" w:styleId="13">
    <w:name w:val="Указатель1"/>
    <w:qFormat/>
    <w:rsid w:val="00F6158C"/>
  </w:style>
  <w:style w:type="character" w:customStyle="1" w:styleId="ConsPlusNormal">
    <w:name w:val="ConsPlusNormal"/>
    <w:qFormat/>
    <w:rsid w:val="00F6158C"/>
    <w:rPr>
      <w:rFonts w:asciiTheme="minorHAnsi" w:hAnsiTheme="minorHAnsi"/>
      <w:color w:val="000000"/>
      <w:sz w:val="22"/>
    </w:rPr>
  </w:style>
  <w:style w:type="character" w:customStyle="1" w:styleId="a9">
    <w:name w:val="Абзац списка Знак"/>
    <w:basedOn w:val="a0"/>
    <w:qFormat/>
    <w:rsid w:val="00F6158C"/>
  </w:style>
  <w:style w:type="character" w:customStyle="1" w:styleId="Contents3">
    <w:name w:val="Contents 3"/>
    <w:qFormat/>
    <w:rsid w:val="00F6158C"/>
  </w:style>
  <w:style w:type="character" w:customStyle="1" w:styleId="aa">
    <w:name w:val="Привязка концевой сноски"/>
    <w:rsid w:val="00F6158C"/>
    <w:rPr>
      <w:vertAlign w:val="superscript"/>
    </w:rPr>
  </w:style>
  <w:style w:type="character" w:customStyle="1" w:styleId="Default">
    <w:name w:val="Default"/>
    <w:qFormat/>
    <w:rsid w:val="00F6158C"/>
    <w:rPr>
      <w:rFonts w:ascii="Times New Roman" w:hAnsi="Times New Roman"/>
      <w:color w:val="000000"/>
      <w:sz w:val="24"/>
    </w:rPr>
  </w:style>
  <w:style w:type="character" w:customStyle="1" w:styleId="14">
    <w:name w:val="Нижний колонтитул1"/>
    <w:qFormat/>
    <w:rsid w:val="00F6158C"/>
  </w:style>
  <w:style w:type="character" w:customStyle="1" w:styleId="2">
    <w:name w:val="Основной текст 2 Знак"/>
    <w:basedOn w:val="a0"/>
    <w:qFormat/>
    <w:rsid w:val="00F6158C"/>
    <w:rPr>
      <w:rFonts w:ascii="Times New Roman" w:hAnsi="Times New Roman"/>
      <w:sz w:val="28"/>
    </w:rPr>
  </w:style>
  <w:style w:type="character" w:customStyle="1" w:styleId="85pt">
    <w:name w:val="Основной текст + 8;5 pt;Полужирный"/>
    <w:qFormat/>
    <w:rsid w:val="00F6158C"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17"/>
      <w:u w:val="none"/>
    </w:rPr>
  </w:style>
  <w:style w:type="character" w:customStyle="1" w:styleId="52">
    <w:name w:val="Заголовок 52"/>
    <w:qFormat/>
    <w:rsid w:val="00F6158C"/>
    <w:rPr>
      <w:rFonts w:ascii="XO Thames" w:hAnsi="XO Thames"/>
      <w:b/>
      <w:color w:val="000000"/>
      <w:sz w:val="22"/>
    </w:rPr>
  </w:style>
  <w:style w:type="character" w:customStyle="1" w:styleId="ab">
    <w:name w:val="Заголовок"/>
    <w:qFormat/>
    <w:rsid w:val="00F6158C"/>
    <w:rPr>
      <w:rFonts w:ascii="Liberation Sans" w:hAnsi="Liberation Sans"/>
      <w:sz w:val="28"/>
    </w:rPr>
  </w:style>
  <w:style w:type="character" w:customStyle="1" w:styleId="120">
    <w:name w:val="Заголовок 12"/>
    <w:qFormat/>
    <w:rsid w:val="00F6158C"/>
    <w:rPr>
      <w:rFonts w:ascii="XO Thames" w:hAnsi="XO Thames"/>
      <w:b/>
      <w:sz w:val="32"/>
    </w:rPr>
  </w:style>
  <w:style w:type="character" w:customStyle="1" w:styleId="ac">
    <w:name w:val="Заголовок таблицы"/>
    <w:basedOn w:val="a7"/>
    <w:qFormat/>
    <w:rsid w:val="00F6158C"/>
    <w:rPr>
      <w:rFonts w:ascii="XO Thames" w:hAnsi="XO Thames"/>
      <w:b/>
      <w:color w:val="000000"/>
    </w:rPr>
  </w:style>
  <w:style w:type="character" w:customStyle="1" w:styleId="22">
    <w:name w:val="Основной текст 22"/>
    <w:qFormat/>
    <w:rsid w:val="00F6158C"/>
    <w:rPr>
      <w:sz w:val="28"/>
    </w:rPr>
  </w:style>
  <w:style w:type="character" w:customStyle="1" w:styleId="-">
    <w:name w:val="Интернет-ссылка"/>
    <w:rsid w:val="00F6158C"/>
    <w:rPr>
      <w:color w:val="0000FF"/>
      <w:u w:val="single"/>
    </w:rPr>
  </w:style>
  <w:style w:type="character" w:customStyle="1" w:styleId="Footnote">
    <w:name w:val="Footnote"/>
    <w:qFormat/>
    <w:rsid w:val="00F6158C"/>
    <w:rPr>
      <w:sz w:val="20"/>
    </w:rPr>
  </w:style>
  <w:style w:type="character" w:customStyle="1" w:styleId="Contents1">
    <w:name w:val="Contents 1"/>
    <w:qFormat/>
    <w:rsid w:val="00F6158C"/>
    <w:rPr>
      <w:rFonts w:ascii="XO Thames" w:hAnsi="XO Thames"/>
      <w:b/>
    </w:rPr>
  </w:style>
  <w:style w:type="character" w:customStyle="1" w:styleId="ad">
    <w:name w:val="Колонтитул"/>
    <w:qFormat/>
    <w:rsid w:val="00F6158C"/>
  </w:style>
  <w:style w:type="character" w:customStyle="1" w:styleId="15">
    <w:name w:val="Верхний колонтитул1"/>
    <w:qFormat/>
    <w:rsid w:val="00F6158C"/>
  </w:style>
  <w:style w:type="character" w:customStyle="1" w:styleId="HeaderandFooter">
    <w:name w:val="Header and Footer"/>
    <w:qFormat/>
    <w:rsid w:val="00F6158C"/>
    <w:rPr>
      <w:rFonts w:ascii="XO Thames" w:hAnsi="XO Thames"/>
      <w:sz w:val="20"/>
    </w:rPr>
  </w:style>
  <w:style w:type="character" w:customStyle="1" w:styleId="FootnoteCharacters">
    <w:name w:val="Footnote Characters"/>
    <w:basedOn w:val="a0"/>
    <w:qFormat/>
    <w:rsid w:val="00F6158C"/>
    <w:rPr>
      <w:vertAlign w:val="superscript"/>
    </w:rPr>
  </w:style>
  <w:style w:type="character" w:customStyle="1" w:styleId="Contents9">
    <w:name w:val="Contents 9"/>
    <w:qFormat/>
    <w:rsid w:val="00F6158C"/>
  </w:style>
  <w:style w:type="character" w:customStyle="1" w:styleId="Contents8">
    <w:name w:val="Contents 8"/>
    <w:qFormat/>
    <w:rsid w:val="00F6158C"/>
  </w:style>
  <w:style w:type="character" w:customStyle="1" w:styleId="ae">
    <w:name w:val="Нумерация строк"/>
    <w:rsid w:val="00F6158C"/>
  </w:style>
  <w:style w:type="character" w:customStyle="1" w:styleId="Contents5">
    <w:name w:val="Contents 5"/>
    <w:qFormat/>
    <w:rsid w:val="00F6158C"/>
  </w:style>
  <w:style w:type="character" w:customStyle="1" w:styleId="af">
    <w:name w:val="Привязка сноски"/>
    <w:rsid w:val="00F6158C"/>
    <w:rPr>
      <w:vertAlign w:val="superscript"/>
    </w:rPr>
  </w:style>
  <w:style w:type="character" w:customStyle="1" w:styleId="af0">
    <w:name w:val="Нижний колонтитул Знак"/>
    <w:basedOn w:val="a0"/>
    <w:qFormat/>
    <w:rsid w:val="00F6158C"/>
    <w:rPr>
      <w:rFonts w:ascii="Times New Roman" w:hAnsi="Times New Roman"/>
      <w:sz w:val="24"/>
    </w:rPr>
  </w:style>
  <w:style w:type="character" w:customStyle="1" w:styleId="16">
    <w:name w:val="Список1"/>
    <w:basedOn w:val="Textbody"/>
    <w:qFormat/>
    <w:rsid w:val="00F6158C"/>
  </w:style>
  <w:style w:type="character" w:customStyle="1" w:styleId="17">
    <w:name w:val="Подзаголовок1"/>
    <w:qFormat/>
    <w:rsid w:val="00F6158C"/>
    <w:rPr>
      <w:rFonts w:ascii="XO Thames" w:hAnsi="XO Thames"/>
      <w:i/>
      <w:color w:val="616161"/>
      <w:sz w:val="24"/>
    </w:rPr>
  </w:style>
  <w:style w:type="character" w:customStyle="1" w:styleId="20">
    <w:name w:val="Основной текст2"/>
    <w:qFormat/>
    <w:rsid w:val="00F6158C"/>
    <w:rPr>
      <w:rFonts w:asciiTheme="minorHAnsi" w:hAnsiTheme="minorHAnsi"/>
      <w:sz w:val="26"/>
    </w:rPr>
  </w:style>
  <w:style w:type="character" w:customStyle="1" w:styleId="toc10">
    <w:name w:val="toc 10"/>
    <w:qFormat/>
    <w:rsid w:val="00F6158C"/>
  </w:style>
  <w:style w:type="character" w:customStyle="1" w:styleId="18">
    <w:name w:val="Название1"/>
    <w:qFormat/>
    <w:rsid w:val="00F6158C"/>
    <w:rPr>
      <w:rFonts w:ascii="XO Thames" w:hAnsi="XO Thames"/>
      <w:b/>
      <w:sz w:val="52"/>
    </w:rPr>
  </w:style>
  <w:style w:type="character" w:customStyle="1" w:styleId="42">
    <w:name w:val="Заголовок 42"/>
    <w:qFormat/>
    <w:rsid w:val="00F6158C"/>
    <w:rPr>
      <w:rFonts w:ascii="XO Thames" w:hAnsi="XO Thames"/>
      <w:b/>
      <w:color w:val="595959"/>
      <w:sz w:val="26"/>
    </w:rPr>
  </w:style>
  <w:style w:type="character" w:customStyle="1" w:styleId="19">
    <w:name w:val="Текст выноски1"/>
    <w:qFormat/>
    <w:rsid w:val="00F6158C"/>
    <w:rPr>
      <w:rFonts w:ascii="Segoe UI" w:hAnsi="Segoe UI"/>
      <w:sz w:val="18"/>
    </w:rPr>
  </w:style>
  <w:style w:type="character" w:customStyle="1" w:styleId="Textbody">
    <w:name w:val="Text body"/>
    <w:qFormat/>
    <w:rsid w:val="00F6158C"/>
  </w:style>
  <w:style w:type="character" w:customStyle="1" w:styleId="af1">
    <w:name w:val="Верхний колонтитул Знак"/>
    <w:basedOn w:val="a0"/>
    <w:qFormat/>
    <w:rsid w:val="00F6158C"/>
    <w:rPr>
      <w:rFonts w:ascii="Times New Roman" w:hAnsi="Times New Roman"/>
      <w:sz w:val="24"/>
    </w:rPr>
  </w:style>
  <w:style w:type="character" w:customStyle="1" w:styleId="220">
    <w:name w:val="Заголовок 22"/>
    <w:qFormat/>
    <w:rsid w:val="00F6158C"/>
    <w:rPr>
      <w:rFonts w:ascii="XO Thames" w:hAnsi="XO Thames"/>
      <w:b/>
      <w:color w:val="00A0FF"/>
      <w:sz w:val="26"/>
    </w:rPr>
  </w:style>
  <w:style w:type="paragraph" w:customStyle="1" w:styleId="af2">
    <w:name w:val="Заголовок"/>
    <w:basedOn w:val="a"/>
    <w:next w:val="af3"/>
    <w:qFormat/>
    <w:rsid w:val="00F6158C"/>
    <w:pPr>
      <w:keepNext/>
      <w:spacing w:before="240" w:after="120"/>
    </w:pPr>
    <w:rPr>
      <w:rFonts w:ascii="Liberation Sans" w:hAnsi="Liberation Sans"/>
      <w:sz w:val="28"/>
    </w:rPr>
  </w:style>
  <w:style w:type="paragraph" w:styleId="af3">
    <w:name w:val="Body Text"/>
    <w:basedOn w:val="a"/>
    <w:rsid w:val="00F6158C"/>
    <w:pPr>
      <w:spacing w:after="140" w:line="276" w:lineRule="auto"/>
    </w:pPr>
  </w:style>
  <w:style w:type="paragraph" w:styleId="af4">
    <w:name w:val="List"/>
    <w:basedOn w:val="af3"/>
    <w:rsid w:val="00F6158C"/>
  </w:style>
  <w:style w:type="paragraph" w:customStyle="1" w:styleId="23">
    <w:name w:val="Название объекта2"/>
    <w:basedOn w:val="a"/>
    <w:qFormat/>
    <w:rsid w:val="00F6158C"/>
    <w:pPr>
      <w:spacing w:before="120" w:after="120"/>
    </w:pPr>
    <w:rPr>
      <w:i/>
    </w:rPr>
  </w:style>
  <w:style w:type="paragraph" w:styleId="af5">
    <w:name w:val="index heading"/>
    <w:basedOn w:val="a"/>
    <w:qFormat/>
    <w:rsid w:val="00F6158C"/>
  </w:style>
  <w:style w:type="paragraph" w:customStyle="1" w:styleId="211">
    <w:name w:val="Оглавление 21"/>
    <w:next w:val="a"/>
    <w:uiPriority w:val="39"/>
    <w:rsid w:val="00F6158C"/>
    <w:pPr>
      <w:ind w:left="200"/>
    </w:pPr>
  </w:style>
  <w:style w:type="paragraph" w:customStyle="1" w:styleId="af6">
    <w:name w:val="Текст сноски Знак"/>
    <w:basedOn w:val="1a"/>
    <w:qFormat/>
    <w:rsid w:val="00F6158C"/>
    <w:rPr>
      <w:sz w:val="20"/>
    </w:rPr>
  </w:style>
  <w:style w:type="paragraph" w:customStyle="1" w:styleId="410">
    <w:name w:val="Оглавление 41"/>
    <w:next w:val="a"/>
    <w:uiPriority w:val="39"/>
    <w:rsid w:val="00F6158C"/>
    <w:pPr>
      <w:ind w:left="600"/>
    </w:pPr>
  </w:style>
  <w:style w:type="paragraph" w:styleId="af7">
    <w:name w:val="List Paragraph"/>
    <w:basedOn w:val="a"/>
    <w:qFormat/>
    <w:rsid w:val="00F6158C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61">
    <w:name w:val="Оглавление 61"/>
    <w:next w:val="a"/>
    <w:uiPriority w:val="39"/>
    <w:rsid w:val="00F6158C"/>
    <w:pPr>
      <w:ind w:left="1000"/>
    </w:pPr>
  </w:style>
  <w:style w:type="paragraph" w:customStyle="1" w:styleId="71">
    <w:name w:val="Оглавление 71"/>
    <w:next w:val="a"/>
    <w:uiPriority w:val="39"/>
    <w:rsid w:val="00F6158C"/>
    <w:pPr>
      <w:ind w:left="1200"/>
    </w:pPr>
  </w:style>
  <w:style w:type="paragraph" w:customStyle="1" w:styleId="1a">
    <w:name w:val="Основной шрифт абзаца1"/>
    <w:qFormat/>
    <w:rsid w:val="00F6158C"/>
  </w:style>
  <w:style w:type="paragraph" w:customStyle="1" w:styleId="13pt0">
    <w:name w:val="Основной текст + 13 pt"/>
    <w:basedOn w:val="af8"/>
    <w:qFormat/>
    <w:rsid w:val="00F6158C"/>
    <w:rPr>
      <w:rFonts w:ascii="Times New Roman" w:hAnsi="Times New Roman"/>
    </w:rPr>
  </w:style>
  <w:style w:type="paragraph" w:customStyle="1" w:styleId="af9">
    <w:name w:val="Символ концевой сноски"/>
    <w:qFormat/>
    <w:rsid w:val="00F6158C"/>
  </w:style>
  <w:style w:type="paragraph" w:customStyle="1" w:styleId="font100">
    <w:name w:val="font10"/>
    <w:basedOn w:val="a"/>
    <w:qFormat/>
    <w:rsid w:val="00F6158C"/>
    <w:pPr>
      <w:spacing w:beforeAutospacing="1" w:afterAutospacing="1"/>
    </w:pPr>
  </w:style>
  <w:style w:type="paragraph" w:customStyle="1" w:styleId="1b">
    <w:name w:val="Абзац списка1"/>
    <w:basedOn w:val="a"/>
    <w:qFormat/>
    <w:rsid w:val="00F6158C"/>
    <w:pPr>
      <w:ind w:left="720"/>
      <w:contextualSpacing/>
    </w:pPr>
  </w:style>
  <w:style w:type="paragraph" w:customStyle="1" w:styleId="fontstyle010">
    <w:name w:val="fontstyle01"/>
    <w:basedOn w:val="1a"/>
    <w:qFormat/>
    <w:rsid w:val="00F6158C"/>
    <w:rPr>
      <w:rFonts w:ascii="TimesNewRomanPSMT" w:hAnsi="TimesNewRomanPSMT"/>
    </w:rPr>
  </w:style>
  <w:style w:type="paragraph" w:customStyle="1" w:styleId="xl1060">
    <w:name w:val="xl106"/>
    <w:qFormat/>
    <w:rsid w:val="00F6158C"/>
    <w:rPr>
      <w:rFonts w:ascii="Calibri" w:hAnsi="Calibri"/>
      <w:sz w:val="20"/>
    </w:rPr>
  </w:style>
  <w:style w:type="paragraph" w:customStyle="1" w:styleId="afa">
    <w:name w:val="Символ сноски"/>
    <w:qFormat/>
    <w:rsid w:val="00F6158C"/>
  </w:style>
  <w:style w:type="paragraph" w:customStyle="1" w:styleId="afb">
    <w:name w:val="Содержимое таблицы"/>
    <w:basedOn w:val="a"/>
    <w:qFormat/>
    <w:rsid w:val="00F6158C"/>
    <w:pPr>
      <w:spacing w:line="276" w:lineRule="auto"/>
    </w:pPr>
    <w:rPr>
      <w:rFonts w:ascii="XO Thames" w:hAnsi="XO Thames"/>
    </w:rPr>
  </w:style>
  <w:style w:type="paragraph" w:customStyle="1" w:styleId="af8">
    <w:name w:val="Основной текст_"/>
    <w:qFormat/>
    <w:rsid w:val="00F6158C"/>
    <w:rPr>
      <w:sz w:val="26"/>
      <w:highlight w:val="white"/>
    </w:rPr>
  </w:style>
  <w:style w:type="paragraph" w:customStyle="1" w:styleId="afc">
    <w:name w:val="Текст выноски Знак"/>
    <w:basedOn w:val="1a"/>
    <w:qFormat/>
    <w:rsid w:val="00F6158C"/>
    <w:rPr>
      <w:rFonts w:ascii="Segoe UI" w:hAnsi="Segoe UI"/>
      <w:sz w:val="18"/>
    </w:rPr>
  </w:style>
  <w:style w:type="paragraph" w:styleId="24">
    <w:name w:val="Body Text 2"/>
    <w:basedOn w:val="a"/>
    <w:qFormat/>
    <w:rsid w:val="00F6158C"/>
    <w:pPr>
      <w:jc w:val="center"/>
    </w:pPr>
    <w:rPr>
      <w:sz w:val="28"/>
    </w:rPr>
  </w:style>
  <w:style w:type="paragraph" w:customStyle="1" w:styleId="ConsPlusNormal0">
    <w:name w:val="ConsPlusNormal"/>
    <w:qFormat/>
    <w:rsid w:val="00F6158C"/>
    <w:pPr>
      <w:widowControl w:val="0"/>
    </w:pPr>
  </w:style>
  <w:style w:type="paragraph" w:customStyle="1" w:styleId="afd">
    <w:name w:val="Абзац списка Знак"/>
    <w:basedOn w:val="1a"/>
    <w:qFormat/>
    <w:rsid w:val="00F6158C"/>
  </w:style>
  <w:style w:type="paragraph" w:customStyle="1" w:styleId="310">
    <w:name w:val="Оглавление 31"/>
    <w:next w:val="a"/>
    <w:uiPriority w:val="39"/>
    <w:rsid w:val="00F6158C"/>
    <w:pPr>
      <w:ind w:left="400"/>
    </w:pPr>
  </w:style>
  <w:style w:type="paragraph" w:customStyle="1" w:styleId="afe">
    <w:name w:val="Привязка концевой сноски"/>
    <w:qFormat/>
    <w:rsid w:val="00F6158C"/>
    <w:rPr>
      <w:vertAlign w:val="superscript"/>
    </w:rPr>
  </w:style>
  <w:style w:type="paragraph" w:customStyle="1" w:styleId="Default0">
    <w:name w:val="Default"/>
    <w:qFormat/>
    <w:rsid w:val="00F6158C"/>
    <w:rPr>
      <w:rFonts w:ascii="Times New Roman" w:hAnsi="Times New Roman"/>
      <w:sz w:val="24"/>
    </w:rPr>
  </w:style>
  <w:style w:type="paragraph" w:customStyle="1" w:styleId="aff">
    <w:name w:val="Колонтитул"/>
    <w:qFormat/>
    <w:rsid w:val="00F6158C"/>
    <w:pPr>
      <w:spacing w:line="360" w:lineRule="auto"/>
    </w:pPr>
    <w:rPr>
      <w:rFonts w:ascii="XO Thames" w:hAnsi="XO Thames"/>
      <w:sz w:val="20"/>
    </w:rPr>
  </w:style>
  <w:style w:type="paragraph" w:customStyle="1" w:styleId="25">
    <w:name w:val="Нижний колонтитул2"/>
    <w:basedOn w:val="a"/>
    <w:rsid w:val="00F6158C"/>
    <w:pPr>
      <w:tabs>
        <w:tab w:val="center" w:pos="4677"/>
        <w:tab w:val="right" w:pos="9355"/>
      </w:tabs>
    </w:pPr>
  </w:style>
  <w:style w:type="paragraph" w:customStyle="1" w:styleId="26">
    <w:name w:val="Основной текст 2 Знак"/>
    <w:basedOn w:val="1a"/>
    <w:qFormat/>
    <w:rsid w:val="00F6158C"/>
    <w:rPr>
      <w:rFonts w:ascii="Times New Roman" w:hAnsi="Times New Roman"/>
      <w:sz w:val="28"/>
    </w:rPr>
  </w:style>
  <w:style w:type="paragraph" w:customStyle="1" w:styleId="85pt0">
    <w:name w:val="Основной текст + 8;5 pt;Полужирный"/>
    <w:qFormat/>
    <w:rsid w:val="00F6158C"/>
    <w:rPr>
      <w:rFonts w:ascii="Times New Roman" w:hAnsi="Times New Roman"/>
      <w:b/>
      <w:sz w:val="17"/>
    </w:rPr>
  </w:style>
  <w:style w:type="paragraph" w:customStyle="1" w:styleId="aff0">
    <w:name w:val="Заголовок таблицы"/>
    <w:basedOn w:val="afb"/>
    <w:qFormat/>
    <w:rsid w:val="00F6158C"/>
    <w:pPr>
      <w:jc w:val="center"/>
    </w:pPr>
    <w:rPr>
      <w:b/>
    </w:rPr>
  </w:style>
  <w:style w:type="paragraph" w:customStyle="1" w:styleId="1c">
    <w:name w:val="Гиперссылка1"/>
    <w:qFormat/>
    <w:rsid w:val="00F6158C"/>
    <w:rPr>
      <w:rFonts w:ascii="Calibri" w:hAnsi="Calibri"/>
      <w:color w:val="0000FF"/>
      <w:u w:val="single"/>
    </w:rPr>
  </w:style>
  <w:style w:type="paragraph" w:customStyle="1" w:styleId="Footnote0">
    <w:name w:val="Footnote"/>
    <w:basedOn w:val="a"/>
    <w:qFormat/>
    <w:rsid w:val="00F6158C"/>
    <w:rPr>
      <w:sz w:val="20"/>
    </w:rPr>
  </w:style>
  <w:style w:type="paragraph" w:customStyle="1" w:styleId="110">
    <w:name w:val="Оглавление 11"/>
    <w:next w:val="a"/>
    <w:uiPriority w:val="39"/>
    <w:rsid w:val="00F6158C"/>
    <w:rPr>
      <w:rFonts w:ascii="XO Thames" w:hAnsi="XO Thames"/>
      <w:b/>
    </w:rPr>
  </w:style>
  <w:style w:type="paragraph" w:customStyle="1" w:styleId="27">
    <w:name w:val="Верхний колонтитул2"/>
    <w:basedOn w:val="a"/>
    <w:rsid w:val="00F6158C"/>
    <w:pPr>
      <w:tabs>
        <w:tab w:val="center" w:pos="4677"/>
        <w:tab w:val="right" w:pos="9355"/>
      </w:tabs>
    </w:pPr>
  </w:style>
  <w:style w:type="paragraph" w:customStyle="1" w:styleId="FootnoteCharacters0">
    <w:name w:val="Footnote Characters"/>
    <w:basedOn w:val="1a"/>
    <w:qFormat/>
    <w:rsid w:val="00F6158C"/>
    <w:rPr>
      <w:vertAlign w:val="superscript"/>
    </w:rPr>
  </w:style>
  <w:style w:type="paragraph" w:customStyle="1" w:styleId="91">
    <w:name w:val="Оглавление 91"/>
    <w:next w:val="a"/>
    <w:uiPriority w:val="39"/>
    <w:rsid w:val="00F6158C"/>
    <w:pPr>
      <w:ind w:left="1600"/>
    </w:pPr>
  </w:style>
  <w:style w:type="paragraph" w:customStyle="1" w:styleId="-0">
    <w:name w:val="Интернет-ссылка"/>
    <w:qFormat/>
    <w:rsid w:val="00F6158C"/>
    <w:rPr>
      <w:rFonts w:ascii="Calibri" w:hAnsi="Calibri"/>
      <w:color w:val="0000FF"/>
      <w:u w:val="single"/>
    </w:rPr>
  </w:style>
  <w:style w:type="paragraph" w:customStyle="1" w:styleId="81">
    <w:name w:val="Оглавление 81"/>
    <w:next w:val="a"/>
    <w:uiPriority w:val="39"/>
    <w:rsid w:val="00F6158C"/>
    <w:pPr>
      <w:ind w:left="1400"/>
    </w:pPr>
  </w:style>
  <w:style w:type="paragraph" w:customStyle="1" w:styleId="aff1">
    <w:name w:val="Нумерация строк"/>
    <w:qFormat/>
    <w:rsid w:val="00F6158C"/>
  </w:style>
  <w:style w:type="paragraph" w:customStyle="1" w:styleId="510">
    <w:name w:val="Оглавление 51"/>
    <w:next w:val="a"/>
    <w:uiPriority w:val="39"/>
    <w:rsid w:val="00F6158C"/>
    <w:pPr>
      <w:ind w:left="800"/>
    </w:pPr>
  </w:style>
  <w:style w:type="paragraph" w:customStyle="1" w:styleId="aff2">
    <w:name w:val="Привязка сноски"/>
    <w:qFormat/>
    <w:rsid w:val="00F6158C"/>
    <w:rPr>
      <w:vertAlign w:val="superscript"/>
    </w:rPr>
  </w:style>
  <w:style w:type="paragraph" w:customStyle="1" w:styleId="Contents20">
    <w:name w:val="Contents 2"/>
    <w:qFormat/>
    <w:rsid w:val="00F6158C"/>
  </w:style>
  <w:style w:type="paragraph" w:customStyle="1" w:styleId="aff3">
    <w:name w:val="Нижний колонтитул Знак"/>
    <w:basedOn w:val="1a"/>
    <w:qFormat/>
    <w:rsid w:val="00F6158C"/>
    <w:rPr>
      <w:rFonts w:ascii="Times New Roman" w:hAnsi="Times New Roman"/>
      <w:sz w:val="24"/>
    </w:rPr>
  </w:style>
  <w:style w:type="paragraph" w:styleId="aff4">
    <w:name w:val="Subtitle"/>
    <w:next w:val="a"/>
    <w:uiPriority w:val="11"/>
    <w:qFormat/>
    <w:rsid w:val="00F6158C"/>
    <w:rPr>
      <w:rFonts w:ascii="XO Thames" w:hAnsi="XO Thames"/>
      <w:i/>
      <w:color w:val="616161"/>
      <w:sz w:val="24"/>
    </w:rPr>
  </w:style>
  <w:style w:type="paragraph" w:customStyle="1" w:styleId="28">
    <w:name w:val="Основной текст2"/>
    <w:basedOn w:val="a"/>
    <w:qFormat/>
    <w:rsid w:val="00F6158C"/>
    <w:pPr>
      <w:widowControl w:val="0"/>
      <w:spacing w:line="314" w:lineRule="exact"/>
      <w:jc w:val="center"/>
    </w:pPr>
    <w:rPr>
      <w:rFonts w:asciiTheme="minorHAnsi" w:hAnsiTheme="minorHAnsi"/>
      <w:sz w:val="26"/>
    </w:rPr>
  </w:style>
  <w:style w:type="paragraph" w:customStyle="1" w:styleId="toc100">
    <w:name w:val="toc 10"/>
    <w:next w:val="a"/>
    <w:uiPriority w:val="39"/>
    <w:qFormat/>
    <w:rsid w:val="00F6158C"/>
    <w:pPr>
      <w:ind w:left="1800"/>
    </w:pPr>
  </w:style>
  <w:style w:type="paragraph" w:styleId="aff5">
    <w:name w:val="Title"/>
    <w:next w:val="a"/>
    <w:uiPriority w:val="10"/>
    <w:qFormat/>
    <w:rsid w:val="00F6158C"/>
    <w:rPr>
      <w:rFonts w:ascii="XO Thames" w:hAnsi="XO Thames"/>
      <w:b/>
      <w:sz w:val="52"/>
    </w:rPr>
  </w:style>
  <w:style w:type="paragraph" w:styleId="aff6">
    <w:name w:val="Balloon Text"/>
    <w:basedOn w:val="a"/>
    <w:qFormat/>
    <w:rsid w:val="00F6158C"/>
    <w:rPr>
      <w:rFonts w:ascii="Segoe UI" w:hAnsi="Segoe UI"/>
      <w:sz w:val="18"/>
    </w:rPr>
  </w:style>
  <w:style w:type="paragraph" w:customStyle="1" w:styleId="aff7">
    <w:name w:val="Верхний колонтитул Знак"/>
    <w:basedOn w:val="1a"/>
    <w:qFormat/>
    <w:rsid w:val="00F6158C"/>
    <w:rPr>
      <w:rFonts w:ascii="Times New Roman" w:hAnsi="Times New Roman"/>
      <w:sz w:val="24"/>
    </w:rPr>
  </w:style>
  <w:style w:type="paragraph" w:customStyle="1" w:styleId="1d">
    <w:name w:val="Текст сноски1"/>
    <w:basedOn w:val="a"/>
    <w:rsid w:val="00F6158C"/>
  </w:style>
  <w:style w:type="paragraph" w:customStyle="1" w:styleId="aff8">
    <w:name w:val="Содержимое врезки"/>
    <w:basedOn w:val="a"/>
    <w:qFormat/>
    <w:rsid w:val="00F6158C"/>
  </w:style>
  <w:style w:type="table" w:styleId="aff9">
    <w:name w:val="Table Grid"/>
    <w:basedOn w:val="a1"/>
    <w:rsid w:val="00F615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1e"/>
    <w:uiPriority w:val="99"/>
    <w:semiHidden/>
    <w:unhideWhenUsed/>
    <w:rsid w:val="008557A5"/>
    <w:rPr>
      <w:rFonts w:cs="Mangal"/>
      <w:sz w:val="20"/>
      <w:szCs w:val="18"/>
    </w:rPr>
  </w:style>
  <w:style w:type="character" w:customStyle="1" w:styleId="1e">
    <w:name w:val="Текст сноски Знак1"/>
    <w:basedOn w:val="a0"/>
    <w:link w:val="affa"/>
    <w:uiPriority w:val="99"/>
    <w:semiHidden/>
    <w:rsid w:val="008557A5"/>
    <w:rPr>
      <w:rFonts w:ascii="Times New Roman" w:hAnsi="Times New Roman" w:cs="Mangal"/>
      <w:sz w:val="20"/>
      <w:szCs w:val="18"/>
    </w:rPr>
  </w:style>
  <w:style w:type="character" w:styleId="affb">
    <w:name w:val="footnote reference"/>
    <w:basedOn w:val="a0"/>
    <w:uiPriority w:val="99"/>
    <w:semiHidden/>
    <w:unhideWhenUsed/>
    <w:rsid w:val="008557A5"/>
    <w:rPr>
      <w:vertAlign w:val="superscript"/>
    </w:rPr>
  </w:style>
  <w:style w:type="paragraph" w:styleId="affc">
    <w:name w:val="header"/>
    <w:basedOn w:val="a"/>
    <w:link w:val="1f"/>
    <w:uiPriority w:val="99"/>
    <w:unhideWhenUsed/>
    <w:rsid w:val="001509AD"/>
    <w:pPr>
      <w:tabs>
        <w:tab w:val="center" w:pos="4677"/>
        <w:tab w:val="right" w:pos="9355"/>
      </w:tabs>
    </w:pPr>
    <w:rPr>
      <w:rFonts w:cs="Mangal"/>
    </w:rPr>
  </w:style>
  <w:style w:type="character" w:customStyle="1" w:styleId="1f">
    <w:name w:val="Верхний колонтитул Знак1"/>
    <w:basedOn w:val="a0"/>
    <w:link w:val="affc"/>
    <w:uiPriority w:val="99"/>
    <w:semiHidden/>
    <w:rsid w:val="001509AD"/>
    <w:rPr>
      <w:rFonts w:ascii="Times New Roman" w:hAnsi="Times New Roman" w:cs="Mangal"/>
      <w:sz w:val="24"/>
    </w:rPr>
  </w:style>
  <w:style w:type="paragraph" w:styleId="affd">
    <w:name w:val="footer"/>
    <w:basedOn w:val="a"/>
    <w:link w:val="1f0"/>
    <w:uiPriority w:val="99"/>
    <w:semiHidden/>
    <w:unhideWhenUsed/>
    <w:rsid w:val="001509AD"/>
    <w:pPr>
      <w:tabs>
        <w:tab w:val="center" w:pos="4677"/>
        <w:tab w:val="right" w:pos="9355"/>
      </w:tabs>
    </w:pPr>
    <w:rPr>
      <w:rFonts w:cs="Mangal"/>
    </w:rPr>
  </w:style>
  <w:style w:type="character" w:customStyle="1" w:styleId="1f0">
    <w:name w:val="Нижний колонтитул Знак1"/>
    <w:basedOn w:val="a0"/>
    <w:link w:val="affd"/>
    <w:uiPriority w:val="99"/>
    <w:semiHidden/>
    <w:rsid w:val="001509AD"/>
    <w:rPr>
      <w:rFonts w:ascii="Times New Roman" w:hAnsi="Times New Roman" w:cs="Mang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A10C6-972B-4DCA-9F29-2C2B0AF3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59</Pages>
  <Words>11102</Words>
  <Characters>63287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2022-03-01T08:13:00Z</cp:lastPrinted>
  <dcterms:created xsi:type="dcterms:W3CDTF">2022-02-28T13:02:00Z</dcterms:created>
  <dcterms:modified xsi:type="dcterms:W3CDTF">2022-03-01T08:39:00Z</dcterms:modified>
  <dc:language>ru-RU</dc:language>
</cp:coreProperties>
</file>