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7CA" w:rsidRPr="00DE44A8" w:rsidRDefault="00C03468">
      <w:pPr>
        <w:spacing w:after="0" w:line="276" w:lineRule="auto"/>
        <w:jc w:val="right"/>
        <w:rPr>
          <w:rFonts w:ascii="Times New Roman"/>
          <w:sz w:val="28"/>
        </w:rPr>
      </w:pPr>
      <w:r>
        <w:rPr>
          <w:rFonts w:ascii="Times New Roman"/>
          <w:sz w:val="28"/>
        </w:rPr>
        <w:t>Проект</w:t>
      </w:r>
    </w:p>
    <w:p w:rsidR="00B477D9" w:rsidRPr="00DE44A8" w:rsidRDefault="00B477D9">
      <w:pPr>
        <w:spacing w:after="0" w:line="276" w:lineRule="auto"/>
        <w:jc w:val="right"/>
        <w:rPr>
          <w:rFonts w:ascii="Times New Roman"/>
          <w:b/>
          <w:sz w:val="28"/>
        </w:rPr>
      </w:pPr>
    </w:p>
    <w:p w:rsidR="006717CA" w:rsidRPr="00DE44A8" w:rsidRDefault="00C03468">
      <w:pPr>
        <w:spacing w:after="0" w:line="276" w:lineRule="auto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Концепция развития внутренних водных путей Российской Федерации на период до 2024 года</w:t>
      </w:r>
    </w:p>
    <w:p w:rsidR="00B477D9" w:rsidRPr="00DE44A8" w:rsidRDefault="00B477D9">
      <w:pPr>
        <w:spacing w:after="0" w:line="276" w:lineRule="auto"/>
        <w:jc w:val="center"/>
        <w:rPr>
          <w:rFonts w:ascii="Times New Roman"/>
          <w:b/>
          <w:sz w:val="28"/>
        </w:rPr>
      </w:pPr>
    </w:p>
    <w:p w:rsidR="00B477D9" w:rsidRPr="00DE44A8" w:rsidRDefault="00B477D9">
      <w:pPr>
        <w:spacing w:after="0" w:line="276" w:lineRule="auto"/>
        <w:jc w:val="center"/>
        <w:rPr>
          <w:rFonts w:ascii="Times New Roman"/>
          <w:b/>
          <w:sz w:val="28"/>
        </w:rPr>
      </w:pPr>
    </w:p>
    <w:p w:rsidR="006717CA" w:rsidRDefault="00C03468">
      <w:pPr>
        <w:tabs>
          <w:tab w:val="left" w:pos="726"/>
        </w:tabs>
        <w:spacing w:after="0" w:line="276" w:lineRule="auto"/>
        <w:ind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Федеральный проект «Внутренние водные пути» Комплексного плана модернизации и расширения магистральной транспортной инфраструктуры направлен на повышение пропускной способности внутренних водных путей - стратегической задачи, поставленной в Указе Президента Российской Федерации от 07.05.2018 г. № 204. </w:t>
      </w:r>
    </w:p>
    <w:p w:rsidR="006717CA" w:rsidRDefault="00C03468">
      <w:pPr>
        <w:spacing w:after="0" w:line="276" w:lineRule="auto"/>
        <w:ind w:firstLine="709"/>
        <w:jc w:val="both"/>
        <w:rPr>
          <w:rFonts w:ascii="Times New Roman"/>
          <w:sz w:val="28"/>
        </w:rPr>
      </w:pPr>
      <w:proofErr w:type="gramStart"/>
      <w:r>
        <w:rPr>
          <w:rFonts w:ascii="Times New Roman"/>
          <w:b/>
          <w:sz w:val="28"/>
        </w:rPr>
        <w:t>Цель федерального проекта</w:t>
      </w:r>
      <w:r>
        <w:rPr>
          <w:rFonts w:ascii="Times New Roman"/>
          <w:sz w:val="28"/>
        </w:rPr>
        <w:t xml:space="preserve">: создание условий для роста грузопотоков по внутренним водным путям и получение системных эффектов за счет перевода массовых и тяжеловесных грузов на реку, сокращения расходов на содержание автодорог и инфраструктуру железнодорожного транспорта, снятия пиковых нагрузок с наземных видов транспорта, ускорения доставки грузов и пассажиров по магистральным сухопутным путям сообщения, развития отечественного судостроения, улучшения экологии мегаполисов и регионов. </w:t>
      </w:r>
      <w:proofErr w:type="gramEnd"/>
    </w:p>
    <w:p w:rsidR="006717CA" w:rsidRDefault="00C03468">
      <w:pPr>
        <w:spacing w:after="0" w:line="276" w:lineRule="auto"/>
        <w:ind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Общая протяженность внутренних водных путей Российской Федерации составляет 101,5 тыс. км. При этом 78 % водных путей являются безальтернативными для доставки грузов и пассажиров, по 53,4 тыс. км обеспечивается «северный завоз». Ежегодно водный транспорт перевозит порядка 118 млн. тонн грузов и 13 млн. пассажиров (приложение 1). Объем речных перевозок для жизнеобеспечения населения и промышленности регионов в рамках Северного завоза составляет около 18 млн. тонн в год. </w:t>
      </w:r>
    </w:p>
    <w:p w:rsidR="006717CA" w:rsidRDefault="00C03468">
      <w:pPr>
        <w:spacing w:after="0" w:line="276" w:lineRule="auto"/>
        <w:ind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В регионах Российской Федерации, где имеются эксплуатируемые внутренние водные пути, создается около 90 процентов валового внутреннего продукта и проживает 80 процентов населения страны. В то же время на долю внутреннего водного транспорта в Российской Федерации приходится менее 2,8 процентов общего грузооборота всех видов транспорта, в то время как во Франции - 10 процентов, Германии - 11 процентов, Нидерландах - 34 процента грузооборота при устойчивой тенденции роста речных перевозок, прежде всего грузов в контейнерах.</w:t>
      </w:r>
    </w:p>
    <w:p w:rsidR="006717CA" w:rsidRDefault="00C03468">
      <w:pPr>
        <w:pStyle w:val="33"/>
        <w:tabs>
          <w:tab w:val="left" w:pos="898"/>
        </w:tabs>
        <w:spacing w:before="0" w:after="0" w:line="276" w:lineRule="auto"/>
        <w:ind w:firstLine="709"/>
        <w:jc w:val="both"/>
        <w:rPr>
          <w:i w:val="0"/>
          <w:sz w:val="28"/>
        </w:rPr>
      </w:pPr>
      <w:proofErr w:type="gramStart"/>
      <w:r>
        <w:rPr>
          <w:i w:val="0"/>
          <w:sz w:val="28"/>
        </w:rPr>
        <w:t>Реализация решений президиума Государственного совета по вопросу развития внутренних водных путей 15 августа 2016 года позволила уже с 2017 года остановить снижение грузооборота на внутреннем водном транспорте, привлечь новую грузовую базу, прежде всего благодаря увеличению объемов финансирования на их содержание</w:t>
      </w:r>
      <w:r>
        <w:rPr>
          <w:sz w:val="28"/>
        </w:rPr>
        <w:t xml:space="preserve"> (в 2017 году дополнительно выделено 4,5 миллиарда рублей, общий объем финансирования 17,9 млрд. руб.</w:t>
      </w:r>
      <w:r>
        <w:rPr>
          <w:i w:val="0"/>
          <w:sz w:val="28"/>
        </w:rPr>
        <w:t>), что послужило стимулом развития отечественного судостроения.</w:t>
      </w:r>
      <w:proofErr w:type="gramEnd"/>
    </w:p>
    <w:p w:rsidR="006717CA" w:rsidRDefault="00C03468">
      <w:pPr>
        <w:spacing w:after="0" w:line="276" w:lineRule="auto"/>
        <w:ind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lastRenderedPageBreak/>
        <w:t xml:space="preserve">Обеспечение нормативного содержания внутренних водных путей и гидротехнических сооружений, а также инвестирование в проекты развития и модернизации речной инфраструктуры, позволят сделать следующий шаг – перейти от стабилизации объемов речных перевозок к их росту. </w:t>
      </w:r>
    </w:p>
    <w:p w:rsidR="006717CA" w:rsidRDefault="00C03468">
      <w:pPr>
        <w:spacing w:after="0" w:line="276" w:lineRule="auto"/>
        <w:ind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Общий объем финансирования из федерального бюджета за период 2019-2024 годов, предусмотренный федеральным проектом «Внутренние водные пути», составляет </w:t>
      </w:r>
      <w:r>
        <w:rPr>
          <w:rFonts w:ascii="Times New Roman"/>
          <w:b/>
          <w:sz w:val="28"/>
        </w:rPr>
        <w:t>281,96 млрд. руб.</w:t>
      </w:r>
      <w:r>
        <w:rPr>
          <w:rFonts w:ascii="Times New Roman"/>
          <w:sz w:val="28"/>
        </w:rPr>
        <w:t xml:space="preserve"> (приложение 2), и направлен </w:t>
      </w:r>
      <w:proofErr w:type="gramStart"/>
      <w:r>
        <w:rPr>
          <w:rFonts w:ascii="Times New Roman"/>
          <w:sz w:val="28"/>
        </w:rPr>
        <w:t>на</w:t>
      </w:r>
      <w:proofErr w:type="gramEnd"/>
      <w:r>
        <w:rPr>
          <w:rFonts w:ascii="Times New Roman"/>
          <w:sz w:val="28"/>
        </w:rPr>
        <w:t>:</w:t>
      </w:r>
    </w:p>
    <w:p w:rsidR="006717CA" w:rsidRDefault="00C03468">
      <w:pPr>
        <w:pStyle w:val="a7"/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/>
          <w:sz w:val="28"/>
        </w:rPr>
      </w:pPr>
      <w:r>
        <w:rPr>
          <w:rFonts w:ascii="Times New Roman"/>
          <w:b/>
          <w:sz w:val="28"/>
        </w:rPr>
        <w:t>обеспечение базового уровня внутренних водных путей и их инфраструктуры</w:t>
      </w:r>
      <w:r>
        <w:rPr>
          <w:rFonts w:ascii="Times New Roman"/>
          <w:sz w:val="28"/>
        </w:rPr>
        <w:t xml:space="preserve"> - поддержание существующих параметров внутренних водных путей и обеспечение нормального уровня безопасности судоходных гидротехнических сооружений -  </w:t>
      </w:r>
      <w:r>
        <w:rPr>
          <w:rFonts w:ascii="Times New Roman"/>
          <w:b/>
          <w:sz w:val="28"/>
        </w:rPr>
        <w:t xml:space="preserve">207,66 млрд. руб. </w:t>
      </w:r>
      <w:r>
        <w:rPr>
          <w:rFonts w:ascii="Times New Roman"/>
          <w:sz w:val="28"/>
        </w:rPr>
        <w:t>(74 % от общей суммы);</w:t>
      </w:r>
    </w:p>
    <w:p w:rsidR="006717CA" w:rsidRDefault="00C03468">
      <w:pPr>
        <w:pStyle w:val="a7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/>
          <w:sz w:val="28"/>
        </w:rPr>
      </w:pPr>
      <w:r>
        <w:rPr>
          <w:rFonts w:ascii="Times New Roman"/>
          <w:b/>
          <w:sz w:val="28"/>
        </w:rPr>
        <w:t>проекты «роста»</w:t>
      </w:r>
      <w:r>
        <w:rPr>
          <w:rFonts w:ascii="Times New Roman"/>
          <w:sz w:val="28"/>
        </w:rPr>
        <w:t xml:space="preserve"> - повышение пропускной способности на</w:t>
      </w:r>
      <w:r>
        <w:rPr>
          <w:rFonts w:ascii="Times New Roman"/>
          <w:b/>
          <w:sz w:val="28"/>
        </w:rPr>
        <w:t xml:space="preserve"> </w:t>
      </w:r>
      <w:r>
        <w:rPr>
          <w:rFonts w:ascii="Times New Roman"/>
          <w:sz w:val="28"/>
        </w:rPr>
        <w:t>70 млн. тонн за счет ликвидации «узких мест», лимитирующих участков</w:t>
      </w:r>
      <w:r>
        <w:rPr>
          <w:rFonts w:ascii="Times New Roman"/>
          <w:b/>
          <w:sz w:val="28"/>
        </w:rPr>
        <w:t xml:space="preserve"> </w:t>
      </w:r>
      <w:r>
        <w:rPr>
          <w:rFonts w:ascii="Times New Roman"/>
          <w:sz w:val="28"/>
        </w:rPr>
        <w:t xml:space="preserve">и улучшения их качественных параметров на 11,4 тыс. км для реализации возможностей роста грузопотоков и пассажирского судоходства - </w:t>
      </w:r>
      <w:r>
        <w:rPr>
          <w:rFonts w:ascii="Times New Roman"/>
          <w:b/>
          <w:sz w:val="28"/>
        </w:rPr>
        <w:t>74,30 млрд. руб.</w:t>
      </w:r>
      <w:r>
        <w:rPr>
          <w:rFonts w:ascii="Times New Roman"/>
          <w:sz w:val="28"/>
        </w:rPr>
        <w:t xml:space="preserve"> (26% от общей суммы).  </w:t>
      </w:r>
    </w:p>
    <w:p w:rsidR="006717CA" w:rsidRDefault="00C03468">
      <w:pPr>
        <w:pStyle w:val="a7"/>
        <w:numPr>
          <w:ilvl w:val="0"/>
          <w:numId w:val="2"/>
        </w:numPr>
        <w:spacing w:after="0" w:line="276" w:lineRule="auto"/>
        <w:ind w:left="0" w:firstLine="360"/>
        <w:jc w:val="both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 xml:space="preserve">Обеспечение базового уровня внутренних водных путей и их инфраструктуры (207,66 млрд. руб.). </w:t>
      </w:r>
    </w:p>
    <w:p w:rsidR="006717CA" w:rsidRDefault="00C03468">
      <w:pPr>
        <w:pStyle w:val="a7"/>
        <w:numPr>
          <w:ilvl w:val="1"/>
          <w:numId w:val="3"/>
        </w:numPr>
        <w:tabs>
          <w:tab w:val="left" w:pos="1276"/>
          <w:tab w:val="left" w:pos="2893"/>
        </w:tabs>
        <w:spacing w:after="0" w:line="276" w:lineRule="auto"/>
        <w:ind w:left="0"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Комплексным планом на поддержание </w:t>
      </w:r>
      <w:r>
        <w:rPr>
          <w:rFonts w:ascii="Times New Roman"/>
          <w:b/>
          <w:sz w:val="28"/>
        </w:rPr>
        <w:t>существующих параметров</w:t>
      </w:r>
      <w:r>
        <w:rPr>
          <w:rFonts w:ascii="Times New Roman"/>
          <w:sz w:val="28"/>
        </w:rPr>
        <w:t xml:space="preserve"> внутренних водных путей и сохранение технического состояния объектов их инфраструктуры с 2019 по 2024 годы предусмотрено </w:t>
      </w:r>
      <w:r>
        <w:rPr>
          <w:rFonts w:ascii="Times New Roman"/>
          <w:b/>
          <w:sz w:val="28"/>
        </w:rPr>
        <w:t>131,41 млрд. руб.</w:t>
      </w:r>
      <w:r>
        <w:rPr>
          <w:rFonts w:ascii="Times New Roman"/>
          <w:sz w:val="28"/>
        </w:rPr>
        <w:t xml:space="preserve"> (текущее содержание внутренних водных путей и судоходных гидротехнических сооружений) (приложение 3). Это позволит:</w:t>
      </w:r>
      <w:r>
        <w:rPr>
          <w:rFonts w:ascii="Times New Roman"/>
          <w:sz w:val="28"/>
        </w:rPr>
        <w:tab/>
      </w:r>
    </w:p>
    <w:p w:rsidR="006717CA" w:rsidRDefault="00C03468">
      <w:pPr>
        <w:pStyle w:val="a7"/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- поддерживать гарантированные габариты на 53,4 тыс. км водных путей для </w:t>
      </w:r>
      <w:r>
        <w:rPr>
          <w:rFonts w:ascii="Times New Roman"/>
          <w:b/>
          <w:sz w:val="28"/>
        </w:rPr>
        <w:t>завоза жизнеобеспечивающих</w:t>
      </w:r>
      <w:r>
        <w:rPr>
          <w:rFonts w:ascii="Times New Roman"/>
          <w:sz w:val="28"/>
        </w:rPr>
        <w:t xml:space="preserve"> грузов в районы Крайнего Севера. Это безусловные финансовые затраты, которые необходимы для обеспечения жизни населения, проживающего на труднодоступных территориях - </w:t>
      </w:r>
      <w:r>
        <w:rPr>
          <w:rFonts w:ascii="Times New Roman"/>
          <w:b/>
          <w:sz w:val="28"/>
        </w:rPr>
        <w:t>32,10 млрд. руб</w:t>
      </w:r>
      <w:r>
        <w:rPr>
          <w:rFonts w:ascii="Times New Roman"/>
          <w:sz w:val="28"/>
        </w:rPr>
        <w:t>.;</w:t>
      </w:r>
    </w:p>
    <w:p w:rsidR="006717CA" w:rsidRDefault="00C03468">
      <w:pPr>
        <w:pStyle w:val="a7"/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/>
          <w:sz w:val="28"/>
          <w:highlight w:val="cyan"/>
        </w:rPr>
      </w:pPr>
      <w:r>
        <w:rPr>
          <w:rFonts w:ascii="Times New Roman"/>
          <w:sz w:val="28"/>
        </w:rPr>
        <w:t xml:space="preserve">- обеспечить </w:t>
      </w:r>
      <w:r>
        <w:rPr>
          <w:rFonts w:ascii="Times New Roman"/>
          <w:b/>
          <w:sz w:val="28"/>
        </w:rPr>
        <w:t>содержание 741</w:t>
      </w:r>
      <w:r>
        <w:rPr>
          <w:rFonts w:ascii="Times New Roman"/>
          <w:sz w:val="28"/>
        </w:rPr>
        <w:t xml:space="preserve"> судоходного гидротехнического сооружения – </w:t>
      </w:r>
      <w:r>
        <w:rPr>
          <w:rFonts w:ascii="Times New Roman"/>
          <w:b/>
          <w:sz w:val="28"/>
        </w:rPr>
        <w:t>55,08 млрд. руб.</w:t>
      </w:r>
      <w:r>
        <w:rPr>
          <w:rFonts w:ascii="Times New Roman"/>
          <w:sz w:val="28"/>
        </w:rPr>
        <w:t xml:space="preserve">, из них более 600 сооружений имеют комплексное назначение и обеспечивают водоснабжение населения и промышленных предприятий, гидроэнергетику, обводнение, судоходство. </w:t>
      </w:r>
    </w:p>
    <w:p w:rsidR="006717CA" w:rsidRDefault="00C03468">
      <w:pPr>
        <w:pStyle w:val="a7"/>
        <w:spacing w:after="0" w:line="276" w:lineRule="auto"/>
        <w:ind w:left="0" w:firstLine="709"/>
        <w:jc w:val="both"/>
        <w:rPr>
          <w:rFonts w:ascii="Times New Roman"/>
          <w:sz w:val="28"/>
        </w:rPr>
      </w:pPr>
      <w:proofErr w:type="gramStart"/>
      <w:r>
        <w:rPr>
          <w:rFonts w:ascii="Times New Roman"/>
          <w:sz w:val="28"/>
        </w:rPr>
        <w:t xml:space="preserve">- обеспечить поддержание существующих параметров внутренних водных путей на 48,2 тыс. км - </w:t>
      </w:r>
      <w:r>
        <w:rPr>
          <w:rFonts w:ascii="Times New Roman"/>
          <w:b/>
          <w:sz w:val="28"/>
        </w:rPr>
        <w:t>44,23 млрд. руб</w:t>
      </w:r>
      <w:r>
        <w:rPr>
          <w:rFonts w:ascii="Times New Roman"/>
          <w:sz w:val="28"/>
        </w:rPr>
        <w:t>., с учетом специфики и технологии выполнения дноуглубительных работ (например, уменьшение объемов дноуглубительных работ в текущем году приведет к их росту в последующие годы, с увеличением объема финансирования), а также мероприятий, отложенных вследствие длительного недофинансирования (более 5 млрд. руб.).</w:t>
      </w:r>
      <w:proofErr w:type="gramEnd"/>
    </w:p>
    <w:p w:rsidR="006717CA" w:rsidRDefault="00C03468">
      <w:pPr>
        <w:pStyle w:val="a7"/>
        <w:numPr>
          <w:ilvl w:val="1"/>
          <w:numId w:val="4"/>
        </w:numPr>
        <w:tabs>
          <w:tab w:val="left" w:pos="567"/>
        </w:tabs>
        <w:spacing w:after="0" w:line="276" w:lineRule="auto"/>
        <w:ind w:left="0"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lastRenderedPageBreak/>
        <w:t xml:space="preserve">На комплексные проекты </w:t>
      </w:r>
      <w:proofErr w:type="gramStart"/>
      <w:r w:rsidR="00DE44A8">
        <w:rPr>
          <w:rFonts w:ascii="Times New Roman"/>
          <w:b/>
          <w:sz w:val="28"/>
        </w:rPr>
        <w:t>реконструкции объектов</w:t>
      </w:r>
      <w:r w:rsidR="00DE44A8" w:rsidRPr="00DE44A8">
        <w:rPr>
          <w:rFonts w:ascii="Times New Roman"/>
          <w:b/>
          <w:sz w:val="28"/>
        </w:rPr>
        <w:t xml:space="preserve"> </w:t>
      </w:r>
      <w:r>
        <w:rPr>
          <w:rFonts w:ascii="Times New Roman"/>
          <w:b/>
          <w:sz w:val="28"/>
        </w:rPr>
        <w:t>инфраструктуры</w:t>
      </w:r>
      <w:r>
        <w:rPr>
          <w:rFonts w:ascii="Times New Roman"/>
          <w:sz w:val="28"/>
        </w:rPr>
        <w:t xml:space="preserve"> бассейнов внутренних водных путей</w:t>
      </w:r>
      <w:proofErr w:type="gramEnd"/>
      <w:r>
        <w:rPr>
          <w:rFonts w:ascii="Times New Roman"/>
          <w:sz w:val="28"/>
        </w:rPr>
        <w:t xml:space="preserve"> предусмотрено </w:t>
      </w:r>
      <w:r>
        <w:rPr>
          <w:rFonts w:ascii="Times New Roman"/>
          <w:b/>
          <w:sz w:val="28"/>
        </w:rPr>
        <w:t>57,64 млрд. руб.</w:t>
      </w:r>
      <w:r>
        <w:rPr>
          <w:rFonts w:ascii="Times New Roman"/>
          <w:sz w:val="28"/>
        </w:rPr>
        <w:t xml:space="preserve"> (приложение 4).</w:t>
      </w:r>
    </w:p>
    <w:p w:rsidR="006717CA" w:rsidRDefault="00C03468">
      <w:pPr>
        <w:tabs>
          <w:tab w:val="left" w:pos="567"/>
        </w:tabs>
        <w:spacing w:after="0" w:line="276" w:lineRule="auto"/>
        <w:ind w:firstLine="709"/>
        <w:jc w:val="both"/>
        <w:rPr>
          <w:rFonts w:ascii="Times New Roman"/>
          <w:sz w:val="28"/>
        </w:rPr>
      </w:pPr>
      <w:proofErr w:type="gramStart"/>
      <w:r>
        <w:rPr>
          <w:rFonts w:ascii="Times New Roman"/>
          <w:sz w:val="28"/>
        </w:rPr>
        <w:t xml:space="preserve">Проекты реконструкции судоходных гидротехнических сооружений направлены на преодоление многолетней тенденции критического ухудшения их технического состояния в связи с длительным периодом недофинансирования, вследствие чего к 2010 году доля судоходных гидротехнических сооружений, с опасным и неудовлетворительным уровнями безопасности превысила 24%. </w:t>
      </w:r>
      <w:proofErr w:type="gramEnd"/>
    </w:p>
    <w:p w:rsidR="006717CA" w:rsidRDefault="00C03468">
      <w:pPr>
        <w:tabs>
          <w:tab w:val="left" w:pos="567"/>
        </w:tabs>
        <w:spacing w:after="0" w:line="276" w:lineRule="auto"/>
        <w:ind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К 2024 году на водных путях не останется объектов, имеющих опасный уровень безопасности. Проведенная реконструкция позволит в дальнейшем поддерживать нормальное техническое состояние гидротехнических сооружений за счет капитальных и текущих ремонтов, не требуя больших инвестиционных затрат.</w:t>
      </w:r>
    </w:p>
    <w:p w:rsidR="006717CA" w:rsidRDefault="00C03468">
      <w:pPr>
        <w:pStyle w:val="a7"/>
        <w:numPr>
          <w:ilvl w:val="1"/>
          <w:numId w:val="4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Для поддержания параметров внутренних водных путей предусмотрено </w:t>
      </w:r>
      <w:r>
        <w:rPr>
          <w:rFonts w:ascii="Times New Roman"/>
          <w:b/>
          <w:sz w:val="28"/>
        </w:rPr>
        <w:t>обновление обслуживающего флота</w:t>
      </w:r>
      <w:r>
        <w:rPr>
          <w:rFonts w:ascii="Times New Roman"/>
          <w:sz w:val="28"/>
        </w:rPr>
        <w:t xml:space="preserve"> - </w:t>
      </w:r>
      <w:r>
        <w:rPr>
          <w:rFonts w:ascii="Times New Roman"/>
          <w:b/>
          <w:sz w:val="28"/>
        </w:rPr>
        <w:t>18,61 млрд. руб.</w:t>
      </w:r>
      <w:r>
        <w:rPr>
          <w:rFonts w:ascii="Times New Roman"/>
          <w:sz w:val="28"/>
        </w:rPr>
        <w:t xml:space="preserve"> (приложение 5).</w:t>
      </w:r>
    </w:p>
    <w:p w:rsidR="006717CA" w:rsidRDefault="00C03468">
      <w:pPr>
        <w:pStyle w:val="a7"/>
        <w:spacing w:after="0" w:line="276" w:lineRule="auto"/>
        <w:ind w:left="0"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По состоянию на 1 января 2019 г. на балансе администраций бассейнов внутренних водных путей находится 2346 судов технического флота, в том числе земснарядов – 152 единицы. Средний возраст судов технического флота превышает 38 лет. С 2004 года выбыло более 30% технического флота, из оставшихся – 17% судов находится в неудовлетворительном техническом состоянии, и требует ремонта или замены.  </w:t>
      </w:r>
    </w:p>
    <w:p w:rsidR="006717CA" w:rsidRDefault="00C03468">
      <w:pPr>
        <w:pStyle w:val="a7"/>
        <w:spacing w:after="0" w:line="276" w:lineRule="auto"/>
        <w:ind w:left="0"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Суда устарели физически и морально. Задача обновления технического флота многие годы откладывалась. Программа его обновления начата только в 2011 году. За период 2011-2018 годов построено 60 судов общей стоимостью </w:t>
      </w:r>
      <w:r>
        <w:br/>
      </w:r>
      <w:r>
        <w:rPr>
          <w:rFonts w:ascii="Times New Roman"/>
          <w:sz w:val="28"/>
        </w:rPr>
        <w:t>5,07 млрд. руб., что явно недостаточно. В связи с чем, до 2024 года в рамках федерального проекта планируется построить 118 единиц технического флота на общую сумму 18,61 млрд. руб.</w:t>
      </w:r>
    </w:p>
    <w:p w:rsidR="006717CA" w:rsidRDefault="00C03468">
      <w:pPr>
        <w:pStyle w:val="a7"/>
        <w:spacing w:after="0" w:line="276" w:lineRule="auto"/>
        <w:ind w:left="0"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При этом будет проведена структурная и количественная оптимизация состава обслуживающего флота по бассейнам, которая обеспечит сокращение затрат на его содержание, а также содержание внутренних водных путей за счет совершенствования технологии выполнения дноуглубительных и путевых работ новыми инновационными судами технического флота с высокой степенью автоматизации и повышенной производительностью. Также прорабатывается вопрос строительства 20 земснарядов нового проекта с использованием механизма лизинга.</w:t>
      </w:r>
    </w:p>
    <w:p w:rsidR="006717CA" w:rsidRDefault="00C03468">
      <w:pPr>
        <w:pStyle w:val="a7"/>
        <w:numPr>
          <w:ilvl w:val="0"/>
          <w:numId w:val="4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Проекты роста (74,3 млрд</w:t>
      </w:r>
      <w:proofErr w:type="gramStart"/>
      <w:r>
        <w:rPr>
          <w:rFonts w:ascii="Times New Roman"/>
          <w:b/>
          <w:sz w:val="28"/>
        </w:rPr>
        <w:t>.р</w:t>
      </w:r>
      <w:proofErr w:type="gramEnd"/>
      <w:r>
        <w:rPr>
          <w:rFonts w:ascii="Times New Roman"/>
          <w:b/>
          <w:sz w:val="28"/>
        </w:rPr>
        <w:t>уб.).</w:t>
      </w:r>
    </w:p>
    <w:p w:rsidR="006717CA" w:rsidRDefault="00C03468">
      <w:pPr>
        <w:pStyle w:val="a7"/>
        <w:numPr>
          <w:ilvl w:val="1"/>
          <w:numId w:val="5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lastRenderedPageBreak/>
        <w:t>Повышение пропускной способности внутренних водных путей ЕГС в результате ликвидации «узких мест» при строительстве новых гидротехнических сооружений - 61,64 млрд</w:t>
      </w:r>
      <w:proofErr w:type="gramStart"/>
      <w:r>
        <w:rPr>
          <w:rFonts w:ascii="Times New Roman"/>
          <w:b/>
          <w:sz w:val="28"/>
        </w:rPr>
        <w:t>.р</w:t>
      </w:r>
      <w:proofErr w:type="gramEnd"/>
      <w:r>
        <w:rPr>
          <w:rFonts w:ascii="Times New Roman"/>
          <w:b/>
          <w:sz w:val="28"/>
        </w:rPr>
        <w:t xml:space="preserve">уб. </w:t>
      </w:r>
    </w:p>
    <w:p w:rsidR="006717CA" w:rsidRDefault="00C03468">
      <w:pPr>
        <w:pStyle w:val="a7"/>
        <w:spacing w:after="0" w:line="276" w:lineRule="auto"/>
        <w:ind w:left="0"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Для устранения инфраструктурных ограничений и обеспечения единой глубины 4 метра на внутренних водных путях ЕГС, которая позволяет эффективно использовать крупнотоннажный флот, реализуются ключевые для водного транспорта проекты:</w:t>
      </w:r>
    </w:p>
    <w:p w:rsidR="006717CA" w:rsidRDefault="00C03468">
      <w:pPr>
        <w:widowControl w:val="0"/>
        <w:spacing w:after="0" w:line="276" w:lineRule="auto"/>
        <w:ind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строительство </w:t>
      </w:r>
      <w:r>
        <w:rPr>
          <w:rFonts w:ascii="Times New Roman"/>
          <w:b/>
          <w:sz w:val="28"/>
        </w:rPr>
        <w:t>Багаевского гидроузла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i/>
          <w:sz w:val="28"/>
        </w:rPr>
        <w:t xml:space="preserve">(20,58 млрд. руб.) – </w:t>
      </w:r>
      <w:r>
        <w:rPr>
          <w:rFonts w:ascii="Times New Roman"/>
          <w:b/>
          <w:sz w:val="28"/>
        </w:rPr>
        <w:t xml:space="preserve">увеличение пропускной способности на 19,0 млн. тонн. </w:t>
      </w:r>
      <w:r>
        <w:rPr>
          <w:rFonts w:ascii="Times New Roman"/>
          <w:sz w:val="28"/>
        </w:rPr>
        <w:t xml:space="preserve">Современное состояние участка водного пути на р. Дон ниже </w:t>
      </w:r>
      <w:proofErr w:type="spellStart"/>
      <w:r>
        <w:rPr>
          <w:rFonts w:ascii="Times New Roman"/>
          <w:sz w:val="28"/>
        </w:rPr>
        <w:t>Кочетовского</w:t>
      </w:r>
      <w:proofErr w:type="spellEnd"/>
      <w:r>
        <w:rPr>
          <w:rFonts w:ascii="Times New Roman"/>
          <w:sz w:val="28"/>
        </w:rPr>
        <w:t xml:space="preserve"> гидроузла не </w:t>
      </w:r>
      <w:proofErr w:type="gramStart"/>
      <w:r>
        <w:rPr>
          <w:rFonts w:ascii="Times New Roman"/>
          <w:sz w:val="28"/>
        </w:rPr>
        <w:t>обеспечивает существующую потребность в перевозке</w:t>
      </w:r>
      <w:proofErr w:type="gramEnd"/>
      <w:r>
        <w:rPr>
          <w:rFonts w:ascii="Times New Roman"/>
          <w:sz w:val="28"/>
        </w:rPr>
        <w:t xml:space="preserve"> на экспорт нефтепродуктов, серы, зерна в направлении морских портов Азово-Черноморского бассейна. Установленная гарантированная глубина судового хода от </w:t>
      </w:r>
      <w:proofErr w:type="spellStart"/>
      <w:r>
        <w:rPr>
          <w:rFonts w:ascii="Times New Roman"/>
          <w:sz w:val="28"/>
        </w:rPr>
        <w:t>Кочетовского</w:t>
      </w:r>
      <w:proofErr w:type="spellEnd"/>
      <w:r>
        <w:rPr>
          <w:rFonts w:ascii="Times New Roman"/>
          <w:sz w:val="28"/>
        </w:rPr>
        <w:t xml:space="preserve"> гидроузла до </w:t>
      </w:r>
      <w:proofErr w:type="gramStart"/>
      <w:r>
        <w:rPr>
          <w:rFonts w:ascii="Times New Roman"/>
          <w:sz w:val="28"/>
        </w:rPr>
        <w:t>г</w:t>
      </w:r>
      <w:proofErr w:type="gramEnd"/>
      <w:r>
        <w:rPr>
          <w:rFonts w:ascii="Times New Roman"/>
          <w:sz w:val="28"/>
        </w:rPr>
        <w:t xml:space="preserve">. Аксай обеспечивалась только на протяжении 33 суток и снижалась в маловодные годы до 2,5 метров. Реализация проекта позволяет решить стратегические задачи </w:t>
      </w:r>
      <w:proofErr w:type="spellStart"/>
      <w:r>
        <w:rPr>
          <w:rFonts w:ascii="Times New Roman"/>
          <w:sz w:val="28"/>
        </w:rPr>
        <w:t>водообеспечения</w:t>
      </w:r>
      <w:proofErr w:type="spellEnd"/>
      <w:r>
        <w:rPr>
          <w:rFonts w:ascii="Times New Roman"/>
          <w:sz w:val="28"/>
        </w:rPr>
        <w:t xml:space="preserve"> двух субъектов Российской Федерации, оздоровления Цимлянского водохранилища.</w:t>
      </w:r>
    </w:p>
    <w:p w:rsidR="006717CA" w:rsidRDefault="00C03468">
      <w:pPr>
        <w:widowControl w:val="0"/>
        <w:spacing w:after="0" w:line="276" w:lineRule="auto"/>
        <w:ind w:firstLine="709"/>
        <w:jc w:val="both"/>
        <w:rPr>
          <w:rFonts w:ascii="Times New Roman"/>
          <w:b/>
          <w:sz w:val="28"/>
        </w:rPr>
      </w:pPr>
      <w:r>
        <w:rPr>
          <w:rFonts w:ascii="Times New Roman"/>
          <w:sz w:val="28"/>
        </w:rPr>
        <w:t xml:space="preserve">строительство </w:t>
      </w:r>
      <w:r>
        <w:rPr>
          <w:rFonts w:ascii="Times New Roman"/>
          <w:b/>
          <w:sz w:val="28"/>
        </w:rPr>
        <w:t xml:space="preserve">Нижегородского гидроузла </w:t>
      </w:r>
      <w:r>
        <w:rPr>
          <w:rFonts w:ascii="Times New Roman"/>
          <w:i/>
          <w:sz w:val="28"/>
        </w:rPr>
        <w:t>(41,06 млрд. руб.)</w:t>
      </w:r>
      <w:r>
        <w:rPr>
          <w:rFonts w:ascii="Times New Roman"/>
          <w:sz w:val="28"/>
        </w:rPr>
        <w:t xml:space="preserve"> – </w:t>
      </w:r>
      <w:r>
        <w:rPr>
          <w:rFonts w:ascii="Times New Roman"/>
          <w:b/>
          <w:sz w:val="28"/>
        </w:rPr>
        <w:t>увеличение пропускной способности на 36,6 млн. тонн.</w:t>
      </w:r>
    </w:p>
    <w:p w:rsidR="006717CA" w:rsidRDefault="00C03468">
      <w:pPr>
        <w:widowControl w:val="0"/>
        <w:spacing w:after="0" w:line="276" w:lineRule="auto"/>
        <w:ind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В настоящее время существующая глубина судового хода от г. Городец до Нижнего Новгорода - 2,2 метра (вместо </w:t>
      </w:r>
      <w:proofErr w:type="gramStart"/>
      <w:r>
        <w:rPr>
          <w:rFonts w:ascii="Times New Roman"/>
          <w:sz w:val="28"/>
        </w:rPr>
        <w:t>гарантированной</w:t>
      </w:r>
      <w:proofErr w:type="gramEnd"/>
      <w:r>
        <w:rPr>
          <w:rFonts w:ascii="Times New Roman"/>
          <w:sz w:val="28"/>
        </w:rPr>
        <w:t xml:space="preserve"> 4 метра). За счет специальных попусков </w:t>
      </w:r>
      <w:proofErr w:type="gramStart"/>
      <w:r>
        <w:rPr>
          <w:rFonts w:ascii="Times New Roman"/>
          <w:sz w:val="28"/>
        </w:rPr>
        <w:t>воды</w:t>
      </w:r>
      <w:proofErr w:type="gramEnd"/>
      <w:r>
        <w:rPr>
          <w:rFonts w:ascii="Times New Roman"/>
          <w:sz w:val="28"/>
        </w:rPr>
        <w:t xml:space="preserve"> возможно ее увеличение до 3,5 метров всего на протяжении 4-х часов в сутки. Месторасположение данного объекта в центре реки Волга на пересечении </w:t>
      </w:r>
      <w:proofErr w:type="spellStart"/>
      <w:r>
        <w:rPr>
          <w:rFonts w:ascii="Times New Roman"/>
          <w:sz w:val="28"/>
        </w:rPr>
        <w:t>транспортно-логистических</w:t>
      </w:r>
      <w:proofErr w:type="spellEnd"/>
      <w:r>
        <w:rPr>
          <w:rFonts w:ascii="Times New Roman"/>
          <w:sz w:val="28"/>
        </w:rPr>
        <w:t xml:space="preserve"> цепей доставки </w:t>
      </w:r>
      <w:proofErr w:type="gramStart"/>
      <w:r>
        <w:rPr>
          <w:rFonts w:ascii="Times New Roman"/>
          <w:sz w:val="28"/>
        </w:rPr>
        <w:t>грузов</w:t>
      </w:r>
      <w:proofErr w:type="gramEnd"/>
      <w:r>
        <w:rPr>
          <w:rFonts w:ascii="Times New Roman"/>
          <w:sz w:val="28"/>
        </w:rPr>
        <w:t xml:space="preserve"> как для снабжения европейских регионов России, так и внешней торговли в рамках транспортных коридоров по направлениям "Запад - Восток" и "Север - Юг", предопределяет приоритетность данного проекта для обеспечения динамичного роста грузопотоков, а также пассажирских перевозок на туристских маршрутах, по магистральным водным путям России.</w:t>
      </w:r>
    </w:p>
    <w:p w:rsidR="006717CA" w:rsidRDefault="00C03468">
      <w:pPr>
        <w:spacing w:after="0" w:line="276" w:lineRule="auto"/>
        <w:ind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Для отрасли </w:t>
      </w:r>
      <w:r>
        <w:rPr>
          <w:rFonts w:ascii="Times New Roman"/>
          <w:b/>
          <w:sz w:val="28"/>
        </w:rPr>
        <w:t>критически</w:t>
      </w:r>
      <w:r>
        <w:rPr>
          <w:rFonts w:ascii="Times New Roman"/>
          <w:sz w:val="28"/>
        </w:rPr>
        <w:t xml:space="preserve"> важно </w:t>
      </w:r>
      <w:r>
        <w:rPr>
          <w:rFonts w:ascii="Times New Roman"/>
          <w:b/>
          <w:sz w:val="28"/>
        </w:rPr>
        <w:t>построить</w:t>
      </w:r>
      <w:r>
        <w:rPr>
          <w:rFonts w:ascii="Times New Roman"/>
          <w:sz w:val="28"/>
        </w:rPr>
        <w:t xml:space="preserve"> эти объекты, которые позволят достичь следующих </w:t>
      </w:r>
      <w:r>
        <w:rPr>
          <w:rFonts w:ascii="Times New Roman"/>
          <w:b/>
          <w:sz w:val="28"/>
        </w:rPr>
        <w:t>результатов</w:t>
      </w:r>
      <w:r>
        <w:rPr>
          <w:rFonts w:ascii="Times New Roman"/>
          <w:sz w:val="28"/>
        </w:rPr>
        <w:t xml:space="preserve">: </w:t>
      </w:r>
    </w:p>
    <w:p w:rsidR="006717CA" w:rsidRDefault="00C03468">
      <w:pPr>
        <w:pStyle w:val="a7"/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обеспечение </w:t>
      </w:r>
      <w:r>
        <w:rPr>
          <w:rFonts w:ascii="Times New Roman"/>
          <w:b/>
          <w:sz w:val="28"/>
        </w:rPr>
        <w:t>унифицированной глубины 4 метра</w:t>
      </w:r>
      <w:r>
        <w:rPr>
          <w:rFonts w:ascii="Times New Roman"/>
          <w:sz w:val="28"/>
        </w:rPr>
        <w:t xml:space="preserve"> на магистральных внутренних водных путях ЕГС и повышение их </w:t>
      </w:r>
      <w:r>
        <w:rPr>
          <w:rFonts w:ascii="Times New Roman"/>
          <w:b/>
          <w:sz w:val="28"/>
        </w:rPr>
        <w:t>пропускной способности на 55,6 млн. тонн</w:t>
      </w:r>
      <w:r>
        <w:rPr>
          <w:rFonts w:ascii="Times New Roman"/>
          <w:sz w:val="28"/>
        </w:rPr>
        <w:t>, создание стимулов для обновления грузовых и пассажирских судов.</w:t>
      </w:r>
    </w:p>
    <w:p w:rsidR="006717CA" w:rsidRDefault="00C03468">
      <w:pPr>
        <w:pStyle w:val="a7"/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/>
          <w:sz w:val="28"/>
        </w:rPr>
      </w:pPr>
      <w:r>
        <w:rPr>
          <w:rFonts w:ascii="Times New Roman"/>
          <w:b/>
          <w:sz w:val="28"/>
        </w:rPr>
        <w:t>рост грузопотоков</w:t>
      </w:r>
      <w:r>
        <w:rPr>
          <w:rFonts w:ascii="Times New Roman"/>
          <w:sz w:val="28"/>
        </w:rPr>
        <w:t xml:space="preserve"> в створе Багаевского гидроузла к 2024 году </w:t>
      </w:r>
      <w:r>
        <w:rPr>
          <w:rFonts w:ascii="Times New Roman"/>
          <w:b/>
          <w:sz w:val="28"/>
        </w:rPr>
        <w:t>в 1,5 раза</w:t>
      </w:r>
      <w:r>
        <w:rPr>
          <w:rFonts w:ascii="Times New Roman"/>
          <w:sz w:val="28"/>
        </w:rPr>
        <w:t xml:space="preserve"> по сравнению с 2018 годом до 15,9 млн. тонн; Нижегородского гидроузла - в </w:t>
      </w:r>
      <w:r>
        <w:rPr>
          <w:rFonts w:ascii="Times New Roman"/>
          <w:b/>
          <w:sz w:val="28"/>
        </w:rPr>
        <w:t>4,8 раза</w:t>
      </w:r>
      <w:r>
        <w:rPr>
          <w:rFonts w:ascii="Times New Roman"/>
          <w:sz w:val="28"/>
        </w:rPr>
        <w:t xml:space="preserve"> до 22 млн. тонн. </w:t>
      </w:r>
    </w:p>
    <w:p w:rsidR="006717CA" w:rsidRDefault="00C03468">
      <w:pPr>
        <w:pStyle w:val="a7"/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lastRenderedPageBreak/>
        <w:t xml:space="preserve">строительство объектов окажет большое влияние на рост экономики в целом с учетом генерирования эффектов в смежных отраслях, в том числе в судостроении: совокупный </w:t>
      </w:r>
      <w:r>
        <w:rPr>
          <w:rFonts w:ascii="Times New Roman"/>
          <w:b/>
          <w:sz w:val="28"/>
        </w:rPr>
        <w:t>социально-экономический эффект</w:t>
      </w:r>
      <w:r>
        <w:rPr>
          <w:rFonts w:ascii="Times New Roman"/>
          <w:sz w:val="28"/>
        </w:rPr>
        <w:t xml:space="preserve"> оценивается в сумме </w:t>
      </w:r>
      <w:r>
        <w:rPr>
          <w:rFonts w:ascii="Times New Roman"/>
          <w:b/>
          <w:sz w:val="28"/>
        </w:rPr>
        <w:t>160 млрд. руб</w:t>
      </w:r>
      <w:r>
        <w:rPr>
          <w:rFonts w:ascii="Times New Roman"/>
          <w:sz w:val="28"/>
        </w:rPr>
        <w:t xml:space="preserve">. </w:t>
      </w:r>
    </w:p>
    <w:p w:rsidR="006717CA" w:rsidRDefault="00C03468">
      <w:pPr>
        <w:pStyle w:val="a7"/>
        <w:numPr>
          <w:ilvl w:val="0"/>
          <w:numId w:val="6"/>
        </w:numPr>
        <w:tabs>
          <w:tab w:val="left" w:pos="1134"/>
          <w:tab w:val="left" w:pos="1276"/>
        </w:tabs>
        <w:spacing w:after="0" w:line="276" w:lineRule="auto"/>
        <w:ind w:left="0" w:firstLine="709"/>
        <w:jc w:val="both"/>
        <w:rPr>
          <w:rFonts w:ascii="Times New Roman"/>
          <w:sz w:val="28"/>
        </w:rPr>
      </w:pPr>
      <w:proofErr w:type="gramStart"/>
      <w:r>
        <w:rPr>
          <w:rFonts w:ascii="Times New Roman"/>
          <w:sz w:val="28"/>
        </w:rPr>
        <w:t xml:space="preserve">при сбалансированном развитии </w:t>
      </w:r>
      <w:proofErr w:type="spellStart"/>
      <w:r>
        <w:rPr>
          <w:rFonts w:ascii="Times New Roman"/>
          <w:sz w:val="28"/>
        </w:rPr>
        <w:t>портово-логистической</w:t>
      </w:r>
      <w:proofErr w:type="spellEnd"/>
      <w:r>
        <w:rPr>
          <w:rFonts w:ascii="Times New Roman"/>
          <w:sz w:val="28"/>
        </w:rPr>
        <w:t xml:space="preserve"> инфраструктуры открываются широкие возможности роста перевозок в прямом смешанном железнодорожно-водном и водно-автомобильном сообщениях с учетом рационального переключения части грузопотоков массовых грузов с наземных на внутренний водный транспорт при снятия пиковых нагрузок с автомобильных и железных дорог в период навигации.</w:t>
      </w:r>
      <w:proofErr w:type="gramEnd"/>
      <w:r>
        <w:rPr>
          <w:rFonts w:ascii="Times New Roman"/>
          <w:sz w:val="28"/>
        </w:rPr>
        <w:t xml:space="preserve">  </w:t>
      </w:r>
      <w:r>
        <w:rPr>
          <w:rFonts w:ascii="Times New Roman"/>
          <w:b/>
          <w:sz w:val="28"/>
        </w:rPr>
        <w:t>Потенциально возможный объем переключения грузов</w:t>
      </w:r>
      <w:r>
        <w:rPr>
          <w:rFonts w:ascii="Times New Roman"/>
          <w:sz w:val="28"/>
        </w:rPr>
        <w:t xml:space="preserve"> с наземных на внутренний водный транспорт оценивается </w:t>
      </w:r>
      <w:r>
        <w:rPr>
          <w:rFonts w:ascii="Times New Roman"/>
          <w:b/>
          <w:sz w:val="28"/>
        </w:rPr>
        <w:t>в 107 млн. тонн</w:t>
      </w:r>
      <w:r>
        <w:rPr>
          <w:rFonts w:ascii="Times New Roman"/>
          <w:sz w:val="28"/>
        </w:rPr>
        <w:t xml:space="preserve">. </w:t>
      </w:r>
    </w:p>
    <w:p w:rsidR="006717CA" w:rsidRDefault="00C03468">
      <w:pPr>
        <w:pStyle w:val="a7"/>
        <w:numPr>
          <w:ilvl w:val="0"/>
          <w:numId w:val="7"/>
        </w:numPr>
        <w:tabs>
          <w:tab w:val="left" w:pos="993"/>
          <w:tab w:val="left" w:pos="1276"/>
        </w:tabs>
        <w:spacing w:after="0" w:line="276" w:lineRule="auto"/>
        <w:ind w:left="0" w:firstLine="709"/>
        <w:jc w:val="both"/>
        <w:rPr>
          <w:rFonts w:ascii="Times New Roman"/>
          <w:sz w:val="28"/>
        </w:rPr>
      </w:pPr>
      <w:r>
        <w:rPr>
          <w:rFonts w:ascii="Times New Roman"/>
          <w:b/>
          <w:sz w:val="28"/>
        </w:rPr>
        <w:t>рост перевозок</w:t>
      </w:r>
      <w:r>
        <w:rPr>
          <w:rFonts w:ascii="Times New Roman"/>
          <w:sz w:val="28"/>
        </w:rPr>
        <w:t xml:space="preserve"> пассажиров на </w:t>
      </w:r>
      <w:r>
        <w:rPr>
          <w:rFonts w:ascii="Times New Roman"/>
          <w:b/>
          <w:sz w:val="28"/>
        </w:rPr>
        <w:t>туристских маршрутах</w:t>
      </w:r>
      <w:r>
        <w:rPr>
          <w:rFonts w:ascii="Times New Roman"/>
          <w:sz w:val="28"/>
        </w:rPr>
        <w:t xml:space="preserve">. </w:t>
      </w:r>
      <w:proofErr w:type="gramStart"/>
      <w:r>
        <w:rPr>
          <w:rFonts w:ascii="Times New Roman"/>
          <w:sz w:val="28"/>
        </w:rPr>
        <w:t xml:space="preserve">Благодаря снятию инфраструктурных ограничений на ЕГС, будет обеспечено беспрепятственное прохождение пассажирских туристических судов, созданы новые маршруты в смешанном река-море плавании в Каспийском и Азово-Черноморском бассейнах. </w:t>
      </w:r>
      <w:proofErr w:type="gramEnd"/>
    </w:p>
    <w:p w:rsidR="006717CA" w:rsidRDefault="00C03468">
      <w:pPr>
        <w:pStyle w:val="a7"/>
        <w:numPr>
          <w:ilvl w:val="0"/>
          <w:numId w:val="7"/>
        </w:numPr>
        <w:tabs>
          <w:tab w:val="left" w:pos="993"/>
          <w:tab w:val="left" w:pos="1276"/>
        </w:tabs>
        <w:spacing w:after="0" w:line="276" w:lineRule="auto"/>
        <w:ind w:left="0"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создание стабильных и понятных для бизнеса условий судоходства на участках внутренних водных путей является гарантией заинтересованности бизнеса в инвестировании развития речной инфраструктуры и строительстве грузовых и пассажирских судов.</w:t>
      </w:r>
    </w:p>
    <w:p w:rsidR="006717CA" w:rsidRDefault="00C03468">
      <w:pPr>
        <w:pStyle w:val="a7"/>
        <w:numPr>
          <w:ilvl w:val="1"/>
          <w:numId w:val="5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 xml:space="preserve">Формирование </w:t>
      </w:r>
      <w:proofErr w:type="gramStart"/>
      <w:r>
        <w:rPr>
          <w:rFonts w:ascii="Times New Roman"/>
          <w:b/>
          <w:sz w:val="28"/>
        </w:rPr>
        <w:t>пакета перспективных проектов улучшения параметров внутренних водных путей</w:t>
      </w:r>
      <w:proofErr w:type="gramEnd"/>
      <w:r>
        <w:rPr>
          <w:rFonts w:ascii="Times New Roman"/>
          <w:b/>
          <w:sz w:val="28"/>
        </w:rPr>
        <w:t xml:space="preserve"> на основе принципов проектного управления (12,66 млрд. руб.).</w:t>
      </w:r>
    </w:p>
    <w:p w:rsidR="006717CA" w:rsidRDefault="00C03468">
      <w:pPr>
        <w:pStyle w:val="a7"/>
        <w:tabs>
          <w:tab w:val="left" w:pos="1276"/>
        </w:tabs>
        <w:spacing w:after="0" w:line="276" w:lineRule="auto"/>
        <w:ind w:left="0" w:firstLine="851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Для реализации проектного подхода к развитию инфраструктуры отдельных участков внутренних водных путей в 15 администрациях бассейнов внутренних водных путей созданы 24 рабочие группы по вопросам мониторинга анализа состояния и перспективного развития водных путей. Они выполняют функции проектных офисов: проводят мониторинг текущего состояния и выявление точек роста грузопотоков, обобщают предложения субъектов РФ, органов государственной власти, бизнес сообщества о необходимости улучшения габаритов пути для реализации предлагаемых проектов коммерческой и социальной направленности. После предварительного отбора предложения направляются в </w:t>
      </w:r>
      <w:proofErr w:type="spellStart"/>
      <w:r>
        <w:rPr>
          <w:rFonts w:ascii="Times New Roman"/>
          <w:sz w:val="28"/>
        </w:rPr>
        <w:t>Росморречфлот</w:t>
      </w:r>
      <w:proofErr w:type="spellEnd"/>
      <w:r>
        <w:rPr>
          <w:rFonts w:ascii="Times New Roman"/>
          <w:sz w:val="28"/>
        </w:rPr>
        <w:t xml:space="preserve"> для принятия решений, на основании критериев отбора, по изменению параметров водных путей и выделению финансирования из федерального бюджета.</w:t>
      </w:r>
    </w:p>
    <w:p w:rsidR="006717CA" w:rsidRDefault="00C03468">
      <w:pPr>
        <w:pStyle w:val="a7"/>
        <w:tabs>
          <w:tab w:val="left" w:pos="1276"/>
        </w:tabs>
        <w:spacing w:after="0" w:line="276" w:lineRule="auto"/>
        <w:ind w:left="0" w:firstLine="720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lastRenderedPageBreak/>
        <w:t xml:space="preserve">В качестве </w:t>
      </w:r>
      <w:r>
        <w:rPr>
          <w:rFonts w:ascii="Times New Roman"/>
          <w:b/>
          <w:sz w:val="28"/>
        </w:rPr>
        <w:t>основных критериев</w:t>
      </w:r>
      <w:r>
        <w:rPr>
          <w:rFonts w:ascii="Times New Roman"/>
          <w:sz w:val="28"/>
        </w:rPr>
        <w:t xml:space="preserve"> отбора коммерчески ориентированных проектов </w:t>
      </w:r>
      <w:proofErr w:type="gramStart"/>
      <w:r>
        <w:rPr>
          <w:rFonts w:ascii="Times New Roman"/>
          <w:sz w:val="28"/>
        </w:rPr>
        <w:t>приняты</w:t>
      </w:r>
      <w:proofErr w:type="gramEnd"/>
      <w:r>
        <w:rPr>
          <w:rFonts w:ascii="Times New Roman"/>
          <w:sz w:val="28"/>
        </w:rPr>
        <w:t>:</w:t>
      </w:r>
    </w:p>
    <w:p w:rsidR="006717CA" w:rsidRDefault="00C03468">
      <w:pPr>
        <w:pStyle w:val="a7"/>
        <w:numPr>
          <w:ilvl w:val="0"/>
          <w:numId w:val="8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наличие подтвержденной грузовой базы или спроса на пассажирские перевозки, для которых необходимо улучшение габаритов внутренних водных путей;</w:t>
      </w:r>
    </w:p>
    <w:p w:rsidR="006717CA" w:rsidRDefault="00C03468">
      <w:pPr>
        <w:pStyle w:val="a7"/>
        <w:numPr>
          <w:ilvl w:val="0"/>
          <w:numId w:val="8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готовность субъектов РФ и бизнеса к </w:t>
      </w:r>
      <w:proofErr w:type="spellStart"/>
      <w:r>
        <w:rPr>
          <w:rFonts w:ascii="Times New Roman"/>
          <w:sz w:val="28"/>
        </w:rPr>
        <w:t>софинансированию</w:t>
      </w:r>
      <w:proofErr w:type="spellEnd"/>
      <w:r>
        <w:rPr>
          <w:rFonts w:ascii="Times New Roman"/>
          <w:sz w:val="28"/>
        </w:rPr>
        <w:t xml:space="preserve"> проектов при обеспечении требуемых габаритов судовых ходов.</w:t>
      </w:r>
    </w:p>
    <w:p w:rsidR="006717CA" w:rsidRDefault="00C03468">
      <w:pPr>
        <w:pStyle w:val="a7"/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К настоящему времени по результатам работы с субъектами России и бизнес сообществом осуществляется ряд проектов на основе государственно-частного партнерства различной направленности (приложение 6), в том числе:</w:t>
      </w:r>
    </w:p>
    <w:p w:rsidR="006717CA" w:rsidRDefault="00C03468">
      <w:pPr>
        <w:pStyle w:val="a7"/>
        <w:numPr>
          <w:ilvl w:val="0"/>
          <w:numId w:val="8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/>
          <w:sz w:val="28"/>
        </w:rPr>
      </w:pPr>
      <w:r>
        <w:rPr>
          <w:rFonts w:ascii="Times New Roman"/>
          <w:i/>
          <w:sz w:val="28"/>
        </w:rPr>
        <w:t>по развитию круизного судоходства</w:t>
      </w:r>
      <w:r>
        <w:rPr>
          <w:rFonts w:ascii="Times New Roman"/>
          <w:b/>
          <w:sz w:val="28"/>
        </w:rPr>
        <w:t>:</w:t>
      </w:r>
      <w:r>
        <w:rPr>
          <w:rFonts w:ascii="Times New Roman"/>
          <w:sz w:val="28"/>
        </w:rPr>
        <w:t xml:space="preserve"> инвестором (ООО «КОНТ») в 2017-2018 гг. построено 11 пассажирских причалов в Северо-Западном и Центральном регионах, для обеспечения подхода судов, </w:t>
      </w:r>
      <w:proofErr w:type="spellStart"/>
      <w:r>
        <w:rPr>
          <w:rFonts w:ascii="Times New Roman"/>
          <w:sz w:val="28"/>
        </w:rPr>
        <w:t>Росморречфлотом</w:t>
      </w:r>
      <w:proofErr w:type="spellEnd"/>
      <w:r>
        <w:rPr>
          <w:rFonts w:ascii="Times New Roman"/>
          <w:sz w:val="28"/>
        </w:rPr>
        <w:t xml:space="preserve"> выполнено дноуглубление за счет средств федерального бюджета (50 млн</w:t>
      </w:r>
      <w:proofErr w:type="gramStart"/>
      <w:r>
        <w:rPr>
          <w:rFonts w:ascii="Times New Roman"/>
          <w:sz w:val="28"/>
        </w:rPr>
        <w:t>.р</w:t>
      </w:r>
      <w:proofErr w:type="gramEnd"/>
      <w:r>
        <w:rPr>
          <w:rFonts w:ascii="Times New Roman"/>
          <w:sz w:val="28"/>
        </w:rPr>
        <w:t xml:space="preserve">уб.), результат - в 2018 году выполнено 37 рейсов и перевезено 6 975 туристов; по инициативе Республики Татарстан, </w:t>
      </w:r>
      <w:proofErr w:type="spellStart"/>
      <w:r>
        <w:rPr>
          <w:rFonts w:ascii="Times New Roman"/>
          <w:sz w:val="28"/>
        </w:rPr>
        <w:t>Росморречфлотом</w:t>
      </w:r>
      <w:proofErr w:type="spellEnd"/>
      <w:r>
        <w:rPr>
          <w:rFonts w:ascii="Times New Roman"/>
          <w:sz w:val="28"/>
        </w:rPr>
        <w:t xml:space="preserve"> проведено дноуглубление, и обеспечены гарантированные габариты водных путей на условиях </w:t>
      </w:r>
      <w:proofErr w:type="spellStart"/>
      <w:r>
        <w:rPr>
          <w:rFonts w:ascii="Times New Roman"/>
          <w:sz w:val="28"/>
        </w:rPr>
        <w:t>софинансирования</w:t>
      </w:r>
      <w:proofErr w:type="spellEnd"/>
      <w:r>
        <w:rPr>
          <w:rFonts w:ascii="Times New Roman"/>
          <w:sz w:val="28"/>
        </w:rPr>
        <w:t xml:space="preserve"> из регионального бюджета (до 50%), результат – в 2018 году в Свияжск и Болгары обеспечен заход 240 пассажирских судов, в основном круизных, программа рассчитана на длительный период; строительство двух уникальных для России туристических судов проекта PV300, отвечающих современным международным стандартам комфортабельности, </w:t>
      </w:r>
      <w:proofErr w:type="spellStart"/>
      <w:r>
        <w:rPr>
          <w:rFonts w:ascii="Times New Roman"/>
          <w:sz w:val="28"/>
        </w:rPr>
        <w:t>энергоэффективности</w:t>
      </w:r>
      <w:proofErr w:type="spellEnd"/>
      <w:r>
        <w:rPr>
          <w:rFonts w:ascii="Times New Roman"/>
          <w:sz w:val="28"/>
        </w:rPr>
        <w:t xml:space="preserve">, </w:t>
      </w:r>
      <w:proofErr w:type="spellStart"/>
      <w:r>
        <w:rPr>
          <w:rFonts w:ascii="Times New Roman"/>
          <w:sz w:val="28"/>
        </w:rPr>
        <w:t>экологичности</w:t>
      </w:r>
      <w:proofErr w:type="spellEnd"/>
      <w:r>
        <w:rPr>
          <w:rFonts w:ascii="Times New Roman"/>
          <w:sz w:val="28"/>
        </w:rPr>
        <w:t xml:space="preserve"> на заводах «Красное Сормово» и «Лотос», инвесторы – ООО «Московское речное пароходство» </w:t>
      </w:r>
      <w:proofErr w:type="gramStart"/>
      <w:r>
        <w:rPr>
          <w:rFonts w:ascii="Times New Roman"/>
          <w:sz w:val="28"/>
        </w:rPr>
        <w:t>и ООО</w:t>
      </w:r>
      <w:proofErr w:type="gramEnd"/>
      <w:r>
        <w:rPr>
          <w:rFonts w:ascii="Times New Roman"/>
          <w:sz w:val="28"/>
        </w:rPr>
        <w:t xml:space="preserve"> «</w:t>
      </w:r>
      <w:proofErr w:type="spellStart"/>
      <w:r>
        <w:rPr>
          <w:rFonts w:ascii="Times New Roman"/>
          <w:sz w:val="28"/>
        </w:rPr>
        <w:t>Водоходъ</w:t>
      </w:r>
      <w:proofErr w:type="spellEnd"/>
      <w:r>
        <w:rPr>
          <w:rFonts w:ascii="Times New Roman"/>
          <w:sz w:val="28"/>
        </w:rPr>
        <w:t xml:space="preserve">»; </w:t>
      </w:r>
    </w:p>
    <w:p w:rsidR="006717CA" w:rsidRDefault="00C03468">
      <w:pPr>
        <w:pStyle w:val="a7"/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/>
          <w:sz w:val="28"/>
        </w:rPr>
      </w:pPr>
      <w:proofErr w:type="gramStart"/>
      <w:r>
        <w:rPr>
          <w:rFonts w:ascii="Times New Roman"/>
          <w:i/>
          <w:sz w:val="28"/>
        </w:rPr>
        <w:t>по переключению грузопотоков на реку</w:t>
      </w:r>
      <w:r>
        <w:rPr>
          <w:rFonts w:ascii="Times New Roman"/>
          <w:sz w:val="28"/>
        </w:rPr>
        <w:t xml:space="preserve">: по соглашению с администрацией Алтайского края и заинтересованными предприятиями в 2015-2018 г.г. </w:t>
      </w:r>
      <w:proofErr w:type="spellStart"/>
      <w:r>
        <w:rPr>
          <w:rFonts w:ascii="Times New Roman"/>
          <w:sz w:val="28"/>
        </w:rPr>
        <w:t>Росморречфлотом</w:t>
      </w:r>
      <w:proofErr w:type="spellEnd"/>
      <w:r>
        <w:rPr>
          <w:rFonts w:ascii="Times New Roman"/>
          <w:sz w:val="28"/>
        </w:rPr>
        <w:t xml:space="preserve"> улучшены параметры судового хода, при финансировании из федерального, региональных бюджетов и внебюджетных источников, что позволило дополнительно перевезти более 3 млн. тонн грузов за счет переключения с автомобильного транспорта.</w:t>
      </w:r>
      <w:proofErr w:type="gramEnd"/>
      <w:r>
        <w:rPr>
          <w:rFonts w:ascii="Times New Roman"/>
          <w:sz w:val="28"/>
        </w:rPr>
        <w:t xml:space="preserve"> Для чего Администрацией Края на федеральной трассе Бийск – Барнаул оборудован пункт весового контроля. Дополнительно восстановлена перевалка грузов с внутреннего водного транспорта в </w:t>
      </w:r>
      <w:proofErr w:type="spellStart"/>
      <w:r>
        <w:rPr>
          <w:rFonts w:ascii="Times New Roman"/>
          <w:sz w:val="28"/>
        </w:rPr>
        <w:t>Усть-Пристанском</w:t>
      </w:r>
      <w:proofErr w:type="spellEnd"/>
      <w:r>
        <w:rPr>
          <w:rFonts w:ascii="Times New Roman"/>
          <w:sz w:val="28"/>
        </w:rPr>
        <w:t xml:space="preserve">, </w:t>
      </w:r>
      <w:proofErr w:type="spellStart"/>
      <w:r>
        <w:rPr>
          <w:rFonts w:ascii="Times New Roman"/>
          <w:sz w:val="28"/>
        </w:rPr>
        <w:t>Калманском</w:t>
      </w:r>
      <w:proofErr w:type="spellEnd"/>
      <w:r>
        <w:rPr>
          <w:rFonts w:ascii="Times New Roman"/>
          <w:sz w:val="28"/>
        </w:rPr>
        <w:t xml:space="preserve">, </w:t>
      </w:r>
      <w:proofErr w:type="spellStart"/>
      <w:r>
        <w:rPr>
          <w:rFonts w:ascii="Times New Roman"/>
          <w:sz w:val="28"/>
        </w:rPr>
        <w:t>Шелаболихинском</w:t>
      </w:r>
      <w:proofErr w:type="spellEnd"/>
      <w:r>
        <w:rPr>
          <w:rFonts w:ascii="Times New Roman"/>
          <w:sz w:val="28"/>
        </w:rPr>
        <w:t xml:space="preserve"> районах, что позволило снизить нагрузку на сеть дорог федерального и регионального значения протяженностью порядка 775 км и сократить расходы субъекта на ремонт автодорог (оценочно в 4,5 млрд. </w:t>
      </w:r>
      <w:proofErr w:type="spellStart"/>
      <w:r>
        <w:rPr>
          <w:rFonts w:ascii="Times New Roman"/>
          <w:sz w:val="28"/>
        </w:rPr>
        <w:t>руб</w:t>
      </w:r>
      <w:proofErr w:type="spellEnd"/>
      <w:r>
        <w:rPr>
          <w:rFonts w:ascii="Times New Roman"/>
          <w:sz w:val="28"/>
        </w:rPr>
        <w:t>).</w:t>
      </w:r>
    </w:p>
    <w:p w:rsidR="006717CA" w:rsidRDefault="00C03468">
      <w:pPr>
        <w:pStyle w:val="a7"/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lastRenderedPageBreak/>
        <w:t xml:space="preserve">Перспективные проекты развития перевозок грузов и пассажиров </w:t>
      </w:r>
      <w:r>
        <w:rPr>
          <w:rFonts w:ascii="Times New Roman"/>
          <w:b/>
          <w:sz w:val="28"/>
        </w:rPr>
        <w:t>в регионах</w:t>
      </w:r>
      <w:r>
        <w:rPr>
          <w:rFonts w:ascii="Times New Roman"/>
          <w:sz w:val="28"/>
        </w:rPr>
        <w:t xml:space="preserve"> по направлениям (приложение 6):</w:t>
      </w:r>
    </w:p>
    <w:p w:rsidR="006717CA" w:rsidRDefault="00C03468">
      <w:pPr>
        <w:pStyle w:val="a7"/>
        <w:tabs>
          <w:tab w:val="left" w:pos="993"/>
          <w:tab w:val="left" w:pos="1276"/>
        </w:tabs>
        <w:spacing w:after="0" w:line="276" w:lineRule="auto"/>
        <w:ind w:left="0" w:firstLine="709"/>
        <w:jc w:val="both"/>
        <w:rPr>
          <w:rFonts w:ascii="Times New Roman"/>
          <w:sz w:val="28"/>
        </w:rPr>
      </w:pPr>
      <w:proofErr w:type="gramStart"/>
      <w:r>
        <w:rPr>
          <w:rFonts w:ascii="Times New Roman"/>
          <w:i/>
          <w:sz w:val="28"/>
        </w:rPr>
        <w:t xml:space="preserve">- </w:t>
      </w:r>
      <w:r>
        <w:rPr>
          <w:rFonts w:ascii="Times New Roman"/>
          <w:b/>
          <w:i/>
          <w:sz w:val="28"/>
        </w:rPr>
        <w:t>развитие перевозок на туристских маршрутах:</w:t>
      </w:r>
      <w:r>
        <w:rPr>
          <w:rFonts w:ascii="Times New Roman"/>
          <w:i/>
          <w:sz w:val="28"/>
        </w:rPr>
        <w:t xml:space="preserve"> </w:t>
      </w:r>
      <w:r>
        <w:rPr>
          <w:rFonts w:ascii="Times New Roman"/>
          <w:sz w:val="28"/>
        </w:rPr>
        <w:t xml:space="preserve">разработка и запуск новой сети туристских водных маршрутов, протяженность которых – от озера Сайма до Ладожского и Онежского озер, </w:t>
      </w:r>
      <w:proofErr w:type="spellStart"/>
      <w:r>
        <w:rPr>
          <w:rFonts w:ascii="Times New Roman"/>
          <w:sz w:val="28"/>
        </w:rPr>
        <w:t>Ильмень-озера</w:t>
      </w:r>
      <w:proofErr w:type="spellEnd"/>
      <w:r>
        <w:rPr>
          <w:rFonts w:ascii="Times New Roman"/>
          <w:sz w:val="28"/>
        </w:rPr>
        <w:t>, с возможностью выхода в Центральные и Южные области России.</w:t>
      </w:r>
      <w:proofErr w:type="gramEnd"/>
      <w:r>
        <w:rPr>
          <w:rFonts w:ascii="Times New Roman"/>
          <w:sz w:val="28"/>
        </w:rPr>
        <w:t xml:space="preserve"> Участники проекта: инвесторы: </w:t>
      </w:r>
      <w:proofErr w:type="gramStart"/>
      <w:r>
        <w:rPr>
          <w:rFonts w:ascii="Times New Roman"/>
          <w:color w:val="3B3B3B"/>
          <w:sz w:val="28"/>
        </w:rPr>
        <w:t xml:space="preserve">ООО «Конт», ООО «СК </w:t>
      </w:r>
      <w:proofErr w:type="spellStart"/>
      <w:r>
        <w:rPr>
          <w:rFonts w:ascii="Times New Roman"/>
          <w:color w:val="3B3B3B"/>
          <w:sz w:val="28"/>
        </w:rPr>
        <w:t>Инфофлот</w:t>
      </w:r>
      <w:proofErr w:type="spellEnd"/>
      <w:r>
        <w:rPr>
          <w:rFonts w:ascii="Times New Roman"/>
          <w:color w:val="3B3B3B"/>
          <w:sz w:val="28"/>
        </w:rPr>
        <w:t xml:space="preserve">»; </w:t>
      </w:r>
      <w:proofErr w:type="spellStart"/>
      <w:r>
        <w:rPr>
          <w:rFonts w:ascii="Times New Roman"/>
          <w:color w:val="3B3B3B"/>
          <w:sz w:val="28"/>
        </w:rPr>
        <w:t>Росморречфлот</w:t>
      </w:r>
      <w:proofErr w:type="spellEnd"/>
      <w:r>
        <w:rPr>
          <w:rFonts w:ascii="Times New Roman"/>
          <w:color w:val="3B3B3B"/>
          <w:sz w:val="28"/>
        </w:rPr>
        <w:t xml:space="preserve"> - улучшение параметров ВВП</w:t>
      </w:r>
      <w:r>
        <w:rPr>
          <w:rFonts w:ascii="Times New Roman"/>
          <w:sz w:val="28"/>
        </w:rPr>
        <w:t xml:space="preserve">; </w:t>
      </w:r>
      <w:r>
        <w:rPr>
          <w:rFonts w:ascii="Times New Roman"/>
          <w:color w:val="3B3B3B"/>
          <w:sz w:val="28"/>
        </w:rPr>
        <w:t xml:space="preserve">создание инфраструктуры речного пассажирского транспорта в районе Лесопарковой зоны города Рязани и </w:t>
      </w:r>
      <w:proofErr w:type="spellStart"/>
      <w:r>
        <w:rPr>
          <w:rFonts w:ascii="Times New Roman"/>
          <w:color w:val="3B3B3B"/>
          <w:sz w:val="28"/>
        </w:rPr>
        <w:t>транспортно-логистического</w:t>
      </w:r>
      <w:proofErr w:type="spellEnd"/>
      <w:r>
        <w:rPr>
          <w:rFonts w:ascii="Times New Roman"/>
          <w:color w:val="3B3B3B"/>
          <w:sz w:val="28"/>
        </w:rPr>
        <w:t xml:space="preserve"> центра «Борки» </w:t>
      </w:r>
      <w:r>
        <w:rPr>
          <w:rFonts w:ascii="Times New Roman"/>
          <w:sz w:val="28"/>
        </w:rPr>
        <w:t>(инвесторы:</w:t>
      </w:r>
      <w:proofErr w:type="gramEnd"/>
      <w:r>
        <w:rPr>
          <w:rFonts w:ascii="Times New Roman"/>
          <w:sz w:val="28"/>
        </w:rPr>
        <w:t xml:space="preserve"> </w:t>
      </w:r>
      <w:proofErr w:type="gramStart"/>
      <w:r>
        <w:rPr>
          <w:rFonts w:ascii="Times New Roman"/>
          <w:sz w:val="28"/>
        </w:rPr>
        <w:t xml:space="preserve">ООО «Окско-Московское пароходство», АО «Порт Коломна», при содействии администрации Рязанской области, </w:t>
      </w:r>
      <w:proofErr w:type="spellStart"/>
      <w:r>
        <w:rPr>
          <w:rFonts w:ascii="Times New Roman"/>
          <w:sz w:val="28"/>
        </w:rPr>
        <w:t>Росморечфлот</w:t>
      </w:r>
      <w:proofErr w:type="spellEnd"/>
      <w:r>
        <w:rPr>
          <w:rFonts w:ascii="Times New Roman"/>
          <w:sz w:val="28"/>
        </w:rPr>
        <w:t xml:space="preserve">: </w:t>
      </w:r>
      <w:r>
        <w:rPr>
          <w:rFonts w:ascii="Times New Roman"/>
          <w:color w:val="3B3B3B"/>
          <w:sz w:val="28"/>
        </w:rPr>
        <w:t>улучшение параметров ВВП</w:t>
      </w:r>
      <w:r>
        <w:rPr>
          <w:rFonts w:ascii="Times New Roman"/>
          <w:sz w:val="28"/>
        </w:rPr>
        <w:t>); создание новых туристических маршрутов в смешанном река-море сообщении в Азово-Черноморском, Каспийском и Балтийском бассейнах (инвесторы:</w:t>
      </w:r>
      <w:proofErr w:type="gramEnd"/>
      <w:r>
        <w:rPr>
          <w:rFonts w:ascii="Times New Roman"/>
          <w:sz w:val="28"/>
        </w:rPr>
        <w:t xml:space="preserve"> </w:t>
      </w:r>
      <w:proofErr w:type="gramStart"/>
      <w:r>
        <w:rPr>
          <w:rFonts w:ascii="Times New Roman"/>
          <w:sz w:val="28"/>
        </w:rPr>
        <w:t>ООО «Московское речное пароходство», ООО «</w:t>
      </w:r>
      <w:proofErr w:type="spellStart"/>
      <w:r>
        <w:rPr>
          <w:rFonts w:ascii="Times New Roman"/>
          <w:sz w:val="28"/>
        </w:rPr>
        <w:t>Водоходъ</w:t>
      </w:r>
      <w:proofErr w:type="spellEnd"/>
      <w:r>
        <w:rPr>
          <w:rFonts w:ascii="Times New Roman"/>
          <w:sz w:val="28"/>
        </w:rPr>
        <w:t xml:space="preserve">», при содействии заинтересованных регионов, </w:t>
      </w:r>
      <w:proofErr w:type="spellStart"/>
      <w:r>
        <w:rPr>
          <w:rFonts w:ascii="Times New Roman"/>
          <w:sz w:val="28"/>
        </w:rPr>
        <w:t>Росморречфлот</w:t>
      </w:r>
      <w:proofErr w:type="spellEnd"/>
      <w:r>
        <w:rPr>
          <w:rFonts w:ascii="Times New Roman"/>
          <w:sz w:val="28"/>
        </w:rPr>
        <w:t xml:space="preserve">: </w:t>
      </w:r>
      <w:r>
        <w:rPr>
          <w:rFonts w:ascii="Times New Roman"/>
          <w:color w:val="3B3B3B"/>
          <w:sz w:val="28"/>
        </w:rPr>
        <w:t>улучшение параметров ВВП</w:t>
      </w:r>
      <w:r>
        <w:rPr>
          <w:rFonts w:ascii="Times New Roman"/>
          <w:sz w:val="28"/>
        </w:rPr>
        <w:t xml:space="preserve">); </w:t>
      </w:r>
      <w:proofErr w:type="gramEnd"/>
    </w:p>
    <w:p w:rsidR="006717CA" w:rsidRDefault="00C03468">
      <w:pPr>
        <w:pStyle w:val="a7"/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/>
          <w:sz w:val="28"/>
        </w:rPr>
      </w:pPr>
      <w:proofErr w:type="gramStart"/>
      <w:r>
        <w:rPr>
          <w:rFonts w:ascii="Times New Roman"/>
          <w:i/>
          <w:color w:val="3B3B3B"/>
          <w:sz w:val="28"/>
        </w:rPr>
        <w:t xml:space="preserve">- </w:t>
      </w:r>
      <w:r>
        <w:rPr>
          <w:rFonts w:ascii="Times New Roman"/>
          <w:b/>
          <w:i/>
          <w:color w:val="3B3B3B"/>
          <w:sz w:val="28"/>
        </w:rPr>
        <w:t>развитие социально-значимых маршрутов</w:t>
      </w:r>
      <w:r>
        <w:rPr>
          <w:rFonts w:ascii="Times New Roman"/>
          <w:b/>
          <w:color w:val="3B3B3B"/>
          <w:sz w:val="28"/>
        </w:rPr>
        <w:t xml:space="preserve">: </w:t>
      </w:r>
      <w:r>
        <w:rPr>
          <w:rFonts w:ascii="Times New Roman"/>
          <w:sz w:val="28"/>
        </w:rPr>
        <w:t>в Ханты-Мансийском автономном округе для организации перевозок на 27 межмуниципальных и 1 межрегиональном маршрутах строятся объекты причальной инфраструктуры, флот (инвестор:</w:t>
      </w:r>
      <w:proofErr w:type="gramEnd"/>
      <w:r>
        <w:rPr>
          <w:rFonts w:ascii="Times New Roman"/>
          <w:sz w:val="28"/>
        </w:rPr>
        <w:t xml:space="preserve"> </w:t>
      </w:r>
      <w:proofErr w:type="gramStart"/>
      <w:r>
        <w:rPr>
          <w:rFonts w:ascii="Times New Roman"/>
          <w:sz w:val="28"/>
        </w:rPr>
        <w:t>Правительство АО), улучшаются параметры внутренних водных путей на 1 626 км (</w:t>
      </w:r>
      <w:proofErr w:type="spellStart"/>
      <w:r>
        <w:rPr>
          <w:rFonts w:ascii="Times New Roman"/>
          <w:sz w:val="28"/>
        </w:rPr>
        <w:t>Росморречфлот</w:t>
      </w:r>
      <w:proofErr w:type="spellEnd"/>
      <w:r>
        <w:rPr>
          <w:rFonts w:ascii="Times New Roman"/>
          <w:sz w:val="28"/>
        </w:rPr>
        <w:t>); в  Иркутской области предусматривается открытие новых маршрутов:</w:t>
      </w:r>
      <w:proofErr w:type="gramEnd"/>
      <w:r>
        <w:rPr>
          <w:rFonts w:ascii="Times New Roman"/>
          <w:sz w:val="28"/>
        </w:rPr>
        <w:t xml:space="preserve"> </w:t>
      </w:r>
      <w:proofErr w:type="spellStart"/>
      <w:r>
        <w:rPr>
          <w:rFonts w:ascii="Times New Roman"/>
          <w:sz w:val="28"/>
        </w:rPr>
        <w:t>Осетрово</w:t>
      </w:r>
      <w:proofErr w:type="spellEnd"/>
      <w:r>
        <w:rPr>
          <w:rFonts w:ascii="Times New Roman"/>
          <w:sz w:val="28"/>
        </w:rPr>
        <w:t xml:space="preserve"> – Визирный - </w:t>
      </w:r>
      <w:proofErr w:type="spellStart"/>
      <w:r>
        <w:rPr>
          <w:rFonts w:ascii="Times New Roman"/>
          <w:sz w:val="28"/>
        </w:rPr>
        <w:t>Осетрово</w:t>
      </w:r>
      <w:proofErr w:type="spellEnd"/>
      <w:r>
        <w:rPr>
          <w:rFonts w:ascii="Times New Roman"/>
          <w:sz w:val="28"/>
        </w:rPr>
        <w:t xml:space="preserve">, Иркутск-Братск (средства федерального, регионального бюджетов, частных инвесторов); </w:t>
      </w:r>
    </w:p>
    <w:p w:rsidR="006717CA" w:rsidRDefault="00C03468">
      <w:pPr>
        <w:spacing w:after="0" w:line="276" w:lineRule="auto"/>
        <w:ind w:firstLine="709"/>
        <w:jc w:val="both"/>
        <w:rPr>
          <w:rFonts w:ascii="Times New Roman"/>
          <w:sz w:val="28"/>
        </w:rPr>
      </w:pPr>
      <w:r>
        <w:rPr>
          <w:rFonts w:ascii="Times New Roman"/>
          <w:i/>
          <w:color w:val="3B3B3B"/>
          <w:sz w:val="28"/>
        </w:rPr>
        <w:t xml:space="preserve">- </w:t>
      </w:r>
      <w:r>
        <w:rPr>
          <w:rFonts w:ascii="Times New Roman"/>
          <w:b/>
          <w:i/>
          <w:color w:val="3B3B3B"/>
          <w:sz w:val="28"/>
        </w:rPr>
        <w:t>рост грузопотоков</w:t>
      </w:r>
      <w:r>
        <w:rPr>
          <w:rFonts w:ascii="Times New Roman"/>
          <w:b/>
          <w:color w:val="3B3B3B"/>
          <w:sz w:val="28"/>
        </w:rPr>
        <w:t xml:space="preserve">: </w:t>
      </w:r>
      <w:r>
        <w:rPr>
          <w:rFonts w:ascii="Times New Roman"/>
          <w:sz w:val="28"/>
        </w:rPr>
        <w:t>обеспечение гарантированных габаритов на реке Белой 190 см, затраты на путевые работы - 235 млн. руб. (</w:t>
      </w:r>
      <w:proofErr w:type="spellStart"/>
      <w:r>
        <w:rPr>
          <w:rFonts w:ascii="Times New Roman"/>
          <w:sz w:val="28"/>
        </w:rPr>
        <w:t>Росморречфлот</w:t>
      </w:r>
      <w:proofErr w:type="spellEnd"/>
      <w:r>
        <w:rPr>
          <w:rFonts w:ascii="Times New Roman"/>
          <w:sz w:val="28"/>
        </w:rPr>
        <w:t>), результат - рост объема перевозок на 1,1 млн. тонн; строительство серии несамоходных наливных барж проекта ROB20 «</w:t>
      </w:r>
      <w:proofErr w:type="spellStart"/>
      <w:r>
        <w:rPr>
          <w:rFonts w:ascii="Times New Roman"/>
          <w:sz w:val="28"/>
        </w:rPr>
        <w:t>Белмакс</w:t>
      </w:r>
      <w:proofErr w:type="spellEnd"/>
      <w:r>
        <w:rPr>
          <w:rFonts w:ascii="Times New Roman"/>
          <w:sz w:val="28"/>
        </w:rPr>
        <w:t xml:space="preserve"> 4» (стоимостью одной баржи 275 млн. руб., средства частных инвесторов); восстановление судоходства на верхнем Дону за счет комплекса путевых работ, организация перевозок зерновых культур малотоннажными судами с последующей перевалкой в суда смешанного река-море плавания (рост грузопотоков до 600 тыс. тонн.); восстановление судоходства на р. Уфа для осуществления перевозок лесных грузов (рост на 200 тыс. тонн).</w:t>
      </w:r>
    </w:p>
    <w:p w:rsidR="006717CA" w:rsidRDefault="00C03468">
      <w:pPr>
        <w:spacing w:after="0" w:line="276" w:lineRule="auto"/>
        <w:ind w:firstLine="709"/>
        <w:jc w:val="both"/>
        <w:rPr>
          <w:rFonts w:ascii="Times New Roman"/>
          <w:i/>
          <w:sz w:val="28"/>
        </w:rPr>
      </w:pPr>
      <w:r>
        <w:rPr>
          <w:rFonts w:ascii="Times New Roman"/>
          <w:sz w:val="28"/>
        </w:rPr>
        <w:t xml:space="preserve"> - </w:t>
      </w:r>
      <w:r>
        <w:rPr>
          <w:rFonts w:ascii="Times New Roman"/>
          <w:b/>
          <w:i/>
          <w:sz w:val="28"/>
        </w:rPr>
        <w:t xml:space="preserve">рост грузопотоков </w:t>
      </w:r>
      <w:r>
        <w:rPr>
          <w:rFonts w:ascii="Times New Roman"/>
          <w:i/>
          <w:sz w:val="28"/>
        </w:rPr>
        <w:t>металла и металлоизделий, зерна, серы, удобрений, щебня</w:t>
      </w:r>
      <w:r>
        <w:rPr>
          <w:rFonts w:ascii="Times New Roman"/>
          <w:b/>
          <w:i/>
          <w:sz w:val="28"/>
        </w:rPr>
        <w:t xml:space="preserve"> в результате переключения с наземных видов транспорта.</w:t>
      </w:r>
    </w:p>
    <w:p w:rsidR="006717CA" w:rsidRDefault="00C03468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lastRenderedPageBreak/>
        <w:t xml:space="preserve">В приложении 7 приведен перечень </w:t>
      </w:r>
      <w:proofErr w:type="spellStart"/>
      <w:r>
        <w:rPr>
          <w:rFonts w:ascii="Times New Roman"/>
          <w:sz w:val="28"/>
        </w:rPr>
        <w:t>пилотных</w:t>
      </w:r>
      <w:proofErr w:type="spellEnd"/>
      <w:r>
        <w:rPr>
          <w:rFonts w:ascii="Times New Roman"/>
          <w:sz w:val="28"/>
        </w:rPr>
        <w:t xml:space="preserve"> проектов транспортировки грузов по ЕГС при переключении с наземных видов транспорта (металл, удобрения, нефтепродукты, щебень, сера);</w:t>
      </w:r>
    </w:p>
    <w:p w:rsidR="006717CA" w:rsidRDefault="00C03468">
      <w:pPr>
        <w:pStyle w:val="a7"/>
        <w:tabs>
          <w:tab w:val="left" w:pos="1276"/>
        </w:tabs>
        <w:spacing w:after="0" w:line="276" w:lineRule="auto"/>
        <w:ind w:left="0" w:firstLine="720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- </w:t>
      </w:r>
      <w:r>
        <w:rPr>
          <w:rFonts w:ascii="Times New Roman"/>
          <w:b/>
          <w:i/>
          <w:sz w:val="28"/>
        </w:rPr>
        <w:t xml:space="preserve">транспортное обеспечение социально-экономического развития приоритетных </w:t>
      </w:r>
      <w:proofErr w:type="spellStart"/>
      <w:r>
        <w:rPr>
          <w:rFonts w:ascii="Times New Roman"/>
          <w:b/>
          <w:i/>
          <w:sz w:val="28"/>
        </w:rPr>
        <w:t>геостратегических</w:t>
      </w:r>
      <w:proofErr w:type="spellEnd"/>
      <w:r>
        <w:rPr>
          <w:rFonts w:ascii="Times New Roman"/>
          <w:b/>
          <w:i/>
          <w:sz w:val="28"/>
        </w:rPr>
        <w:t xml:space="preserve"> территорий, устойчивых связей между субъектами РФ</w:t>
      </w:r>
      <w:r>
        <w:rPr>
          <w:rFonts w:ascii="Times New Roman"/>
          <w:sz w:val="28"/>
        </w:rPr>
        <w:t xml:space="preserve"> на основе улучшения параметров участков водных путей восточных и северных бассейнов, что позволит решить стратегические задачи, предусмотренные в Стратегии пространственного развития Российской Федерации (приложение 8);</w:t>
      </w:r>
    </w:p>
    <w:p w:rsidR="006717CA" w:rsidRDefault="00C03468">
      <w:pPr>
        <w:tabs>
          <w:tab w:val="left" w:pos="851"/>
          <w:tab w:val="left" w:pos="1276"/>
        </w:tabs>
        <w:spacing w:after="0" w:line="276" w:lineRule="auto"/>
        <w:ind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- </w:t>
      </w:r>
      <w:r>
        <w:rPr>
          <w:rFonts w:ascii="Times New Roman"/>
          <w:b/>
          <w:i/>
          <w:sz w:val="28"/>
        </w:rPr>
        <w:t xml:space="preserve">строительство </w:t>
      </w:r>
      <w:proofErr w:type="spellStart"/>
      <w:r>
        <w:rPr>
          <w:rFonts w:ascii="Times New Roman"/>
          <w:b/>
          <w:i/>
          <w:sz w:val="28"/>
        </w:rPr>
        <w:t>транспортно-логистических</w:t>
      </w:r>
      <w:proofErr w:type="spellEnd"/>
      <w:r>
        <w:rPr>
          <w:rFonts w:ascii="Times New Roman"/>
          <w:b/>
          <w:i/>
          <w:sz w:val="28"/>
        </w:rPr>
        <w:t xml:space="preserve"> центров с использованием внутреннего водного транспорта - </w:t>
      </w:r>
      <w:proofErr w:type="spellStart"/>
      <w:r>
        <w:rPr>
          <w:rFonts w:ascii="Times New Roman"/>
          <w:b/>
          <w:i/>
          <w:sz w:val="28"/>
        </w:rPr>
        <w:t>тримодальных</w:t>
      </w:r>
      <w:proofErr w:type="spellEnd"/>
      <w:r>
        <w:rPr>
          <w:rFonts w:ascii="Times New Roman"/>
          <w:b/>
          <w:i/>
          <w:sz w:val="28"/>
        </w:rPr>
        <w:t xml:space="preserve"> терминалов - в составе планируемой сети ТЛЦ</w:t>
      </w:r>
      <w:r>
        <w:rPr>
          <w:rFonts w:ascii="Times New Roman"/>
          <w:sz w:val="28"/>
        </w:rPr>
        <w:t xml:space="preserve"> (Санкт-Петербург, Москва, Нижний Новгород, Казань, Самара, Волгоград, Ростов-на-Дону, Омск, Новосибирск, внебюджетные средства) – создание условий для включения водных маршрутов в </w:t>
      </w:r>
      <w:proofErr w:type="spellStart"/>
      <w:r>
        <w:rPr>
          <w:rFonts w:ascii="Times New Roman"/>
          <w:sz w:val="28"/>
        </w:rPr>
        <w:t>транспортно-логистические</w:t>
      </w:r>
      <w:proofErr w:type="spellEnd"/>
      <w:r>
        <w:rPr>
          <w:rFonts w:ascii="Times New Roman"/>
          <w:sz w:val="28"/>
        </w:rPr>
        <w:t xml:space="preserve"> цепи доставки грузов и вывод портов из центральных районов крупных городов, улучшение экологии (приложение 9).</w:t>
      </w:r>
    </w:p>
    <w:p w:rsidR="006717CA" w:rsidRDefault="00C03468">
      <w:pPr>
        <w:pStyle w:val="13"/>
        <w:spacing w:after="0" w:line="276" w:lineRule="auto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Для реализации потенциальных возможностей роста внутрибассейновых и межбассейновых перевозок грузов по внутренним водным путям - строительство новых и реконструкция изношенных причальных стенок за счет средств частных инвесторов при поддержке субъектов РФ.</w:t>
      </w:r>
    </w:p>
    <w:p w:rsidR="006717CA" w:rsidRDefault="00C03468">
      <w:pPr>
        <w:widowControl w:val="0"/>
        <w:tabs>
          <w:tab w:val="left" w:pos="851"/>
        </w:tabs>
        <w:spacing w:after="0" w:line="276" w:lineRule="auto"/>
        <w:ind w:firstLine="709"/>
        <w:jc w:val="both"/>
        <w:rPr>
          <w:rFonts w:ascii="Times New Roman"/>
          <w:sz w:val="28"/>
        </w:rPr>
      </w:pPr>
      <w:r>
        <w:rPr>
          <w:rFonts w:ascii="Times New Roman"/>
          <w:b/>
          <w:i/>
          <w:sz w:val="28"/>
        </w:rPr>
        <w:t>- обновление грузового и пассажирского флота</w:t>
      </w:r>
      <w:r>
        <w:rPr>
          <w:rFonts w:ascii="Times New Roman"/>
          <w:sz w:val="28"/>
        </w:rPr>
        <w:t xml:space="preserve"> – обеспечение роста перевозок в соответствии с планируемой конфигурацией грузопотоков, получение мультипликативного эффекта за счет увеличения количества строящихся судов.</w:t>
      </w:r>
    </w:p>
    <w:p w:rsidR="006717CA" w:rsidRDefault="00C03468">
      <w:pPr>
        <w:spacing w:after="0" w:line="276" w:lineRule="auto"/>
        <w:ind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За последние годы значительно обновился флот смешанного «река-море» плавания: за 10 лет построено более 100 танкеров и сухогрузов для обеспечения перевозок грузов на экспорт, в основном в направлении портов Азово-Черноморского бассейна (приложение 10). Для обеспечения роста внутрибассейновых и межбассейновых перевозок грузов за счет улучшения качественных параметров внутренних водных путей наряду со строительством судов смешанного река-море плавания большой грузоподъемности необходимо серийное строительство дешевого флота средней и малой грузоподъемности до 2000 тонн. Снижение себестоимости перевозок позволят обеспечить модульные секционные составы. </w:t>
      </w:r>
    </w:p>
    <w:p w:rsidR="006717CA" w:rsidRDefault="00C03468">
      <w:pPr>
        <w:spacing w:after="0" w:line="276" w:lineRule="auto"/>
        <w:ind w:firstLine="709"/>
        <w:jc w:val="both"/>
        <w:rPr>
          <w:rFonts w:ascii="Times New Roman"/>
          <w:sz w:val="28"/>
        </w:rPr>
      </w:pPr>
      <w:r>
        <w:rPr>
          <w:rFonts w:ascii="Times New Roman"/>
          <w:b/>
          <w:sz w:val="28"/>
        </w:rPr>
        <w:t>Выводы.</w:t>
      </w:r>
      <w:r>
        <w:rPr>
          <w:rFonts w:ascii="Times New Roman"/>
          <w:sz w:val="28"/>
        </w:rPr>
        <w:t xml:space="preserve"> </w:t>
      </w:r>
      <w:proofErr w:type="gramStart"/>
      <w:r>
        <w:rPr>
          <w:rFonts w:ascii="Times New Roman"/>
          <w:sz w:val="28"/>
        </w:rPr>
        <w:t>При условии перехода на 100% финансирование содержания внутренних водных путей и судоходных гидротехнических сооружений, применения принципов проектного управления к отбору и реализации</w:t>
      </w:r>
      <w:r>
        <w:rPr>
          <w:rFonts w:ascii="Times New Roman"/>
          <w:b/>
          <w:sz w:val="28"/>
        </w:rPr>
        <w:t xml:space="preserve"> проектов роста</w:t>
      </w:r>
      <w:r>
        <w:rPr>
          <w:rFonts w:ascii="Times New Roman"/>
          <w:sz w:val="28"/>
        </w:rPr>
        <w:t xml:space="preserve"> будут созданы условия </w:t>
      </w:r>
      <w:r w:rsidR="001157D5">
        <w:rPr>
          <w:rFonts w:ascii="Times New Roman"/>
          <w:sz w:val="28"/>
        </w:rPr>
        <w:t>для увеличения</w:t>
      </w:r>
      <w:r>
        <w:rPr>
          <w:rFonts w:ascii="Times New Roman"/>
          <w:sz w:val="28"/>
        </w:rPr>
        <w:t xml:space="preserve"> грузопотоков по внутренним</w:t>
      </w:r>
      <w:r>
        <w:rPr>
          <w:rFonts w:ascii="Times New Roman"/>
          <w:b/>
          <w:sz w:val="28"/>
        </w:rPr>
        <w:t xml:space="preserve"> </w:t>
      </w:r>
      <w:r>
        <w:rPr>
          <w:rFonts w:ascii="Times New Roman"/>
          <w:sz w:val="28"/>
        </w:rPr>
        <w:lastRenderedPageBreak/>
        <w:t>водным путям</w:t>
      </w:r>
      <w:r>
        <w:rPr>
          <w:rFonts w:ascii="Times New Roman"/>
          <w:b/>
          <w:sz w:val="28"/>
        </w:rPr>
        <w:t xml:space="preserve"> </w:t>
      </w:r>
      <w:r>
        <w:rPr>
          <w:rFonts w:ascii="Times New Roman"/>
          <w:sz w:val="28"/>
        </w:rPr>
        <w:t xml:space="preserve">и получения системных эффектов путем снятия пиковых нагрузок с наземных видов транспорта, развития отечественного судостроения, улучшения экологии мегаполисов и регионов. </w:t>
      </w:r>
      <w:proofErr w:type="gramEnd"/>
    </w:p>
    <w:sectPr w:rsidR="006717CA" w:rsidSect="00482036">
      <w:headerReference w:type="default" r:id="rId7"/>
      <w:footerReference w:type="default" r:id="rId8"/>
      <w:pgSz w:w="11906" w:h="16838"/>
      <w:pgMar w:top="1134" w:right="680" w:bottom="851" w:left="1247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23F" w:rsidRDefault="0075523F">
      <w:pPr>
        <w:spacing w:after="0" w:line="240" w:lineRule="auto"/>
      </w:pPr>
      <w:r>
        <w:separator/>
      </w:r>
    </w:p>
  </w:endnote>
  <w:endnote w:type="continuationSeparator" w:id="0">
    <w:p w:rsidR="0075523F" w:rsidRDefault="00755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7CA" w:rsidRDefault="006717CA">
    <w:pPr>
      <w:pStyle w:val="af0"/>
      <w:jc w:val="center"/>
    </w:pPr>
  </w:p>
  <w:p w:rsidR="006717CA" w:rsidRDefault="006717CA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23F" w:rsidRDefault="0075523F">
      <w:pPr>
        <w:spacing w:after="0" w:line="240" w:lineRule="auto"/>
      </w:pPr>
      <w:r>
        <w:separator/>
      </w:r>
    </w:p>
  </w:footnote>
  <w:footnote w:type="continuationSeparator" w:id="0">
    <w:p w:rsidR="0075523F" w:rsidRDefault="00755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7CA" w:rsidRDefault="004442DB">
    <w:pPr>
      <w:framePr w:wrap="around" w:vAnchor="text" w:hAnchor="margin" w:xAlign="center" w:y="1"/>
    </w:pPr>
    <w:r>
      <w:fldChar w:fldCharType="begin"/>
    </w:r>
    <w:r w:rsidR="00C03468">
      <w:instrText>PAGE \* Arabic</w:instrText>
    </w:r>
    <w:r>
      <w:fldChar w:fldCharType="separate"/>
    </w:r>
    <w:r w:rsidR="00DE44A8">
      <w:rPr>
        <w:noProof/>
      </w:rPr>
      <w:t>3</w:t>
    </w:r>
    <w:r>
      <w:fldChar w:fldCharType="end"/>
    </w:r>
  </w:p>
  <w:p w:rsidR="006717CA" w:rsidRDefault="006717CA">
    <w:pPr>
      <w:rPr>
        <w:lang w:val="en-US"/>
      </w:rPr>
    </w:pPr>
  </w:p>
  <w:p w:rsidR="00DE44A8" w:rsidRPr="00DE44A8" w:rsidRDefault="00DE44A8">
    <w:pPr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2279"/>
    <w:multiLevelType w:val="multilevel"/>
    <w:tmpl w:val="6E4CF35E"/>
    <w:lvl w:ilvl="0">
      <w:start w:val="1"/>
      <w:numFmt w:val="bullet"/>
      <w:lvlText w:val=""/>
      <w:lvlJc w:val="left"/>
      <w:pPr>
        <w:ind w:left="2062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">
    <w:nsid w:val="11812D55"/>
    <w:multiLevelType w:val="multilevel"/>
    <w:tmpl w:val="A7E8D97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2149" w:hanging="144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2">
    <w:nsid w:val="38682D1D"/>
    <w:multiLevelType w:val="multilevel"/>
    <w:tmpl w:val="C046D84E"/>
    <w:lvl w:ilvl="0">
      <w:start w:val="1"/>
      <w:numFmt w:val="bullet"/>
      <w:lvlText w:val=""/>
      <w:lvlJc w:val="left"/>
      <w:pPr>
        <w:ind w:left="1503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223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94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6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83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10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82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543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63" w:hanging="360"/>
      </w:pPr>
      <w:rPr>
        <w:rFonts w:ascii="Wingdings" w:hAnsi="Wingdings"/>
      </w:rPr>
    </w:lvl>
  </w:abstractNum>
  <w:abstractNum w:abstractNumId="3">
    <w:nsid w:val="40D617E6"/>
    <w:multiLevelType w:val="multilevel"/>
    <w:tmpl w:val="23EA53F4"/>
    <w:lvl w:ilvl="0">
      <w:start w:val="1"/>
      <w:numFmt w:val="decimal"/>
      <w:lvlText w:val="%1."/>
      <w:lvlJc w:val="left"/>
      <w:pPr>
        <w:ind w:left="450" w:hanging="45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color w:val="000000"/>
      </w:rPr>
    </w:lvl>
  </w:abstractNum>
  <w:abstractNum w:abstractNumId="4">
    <w:nsid w:val="4AC82D76"/>
    <w:multiLevelType w:val="multilevel"/>
    <w:tmpl w:val="785AB1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>
    <w:nsid w:val="550444EF"/>
    <w:multiLevelType w:val="multilevel"/>
    <w:tmpl w:val="8398BEA0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6">
    <w:nsid w:val="685731DD"/>
    <w:multiLevelType w:val="multilevel"/>
    <w:tmpl w:val="47BC6C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864" w:hanging="1155"/>
      </w:pPr>
    </w:lvl>
    <w:lvl w:ilvl="2">
      <w:start w:val="1"/>
      <w:numFmt w:val="decimal"/>
      <w:lvlText w:val="%1.%2.%3"/>
      <w:lvlJc w:val="left"/>
      <w:pPr>
        <w:ind w:left="2213" w:hanging="1155"/>
      </w:pPr>
    </w:lvl>
    <w:lvl w:ilvl="3">
      <w:start w:val="1"/>
      <w:numFmt w:val="decimal"/>
      <w:lvlText w:val="%1.%2.%3.%4"/>
      <w:lvlJc w:val="left"/>
      <w:pPr>
        <w:ind w:left="2562" w:hanging="1155"/>
      </w:pPr>
    </w:lvl>
    <w:lvl w:ilvl="4">
      <w:start w:val="1"/>
      <w:numFmt w:val="decimal"/>
      <w:lvlText w:val="%1.%2.%3.%4.%5"/>
      <w:lvlJc w:val="left"/>
      <w:pPr>
        <w:ind w:left="2911" w:hanging="1155"/>
      </w:pPr>
    </w:lvl>
    <w:lvl w:ilvl="5">
      <w:start w:val="1"/>
      <w:numFmt w:val="decimal"/>
      <w:lvlText w:val="%1.%2.%3.%4.%5.%6"/>
      <w:lvlJc w:val="left"/>
      <w:pPr>
        <w:ind w:left="3545" w:hanging="1440"/>
      </w:pPr>
    </w:lvl>
    <w:lvl w:ilvl="6">
      <w:start w:val="1"/>
      <w:numFmt w:val="decimal"/>
      <w:lvlText w:val="%1.%2.%3.%4.%5.%6.%7"/>
      <w:lvlJc w:val="left"/>
      <w:pPr>
        <w:ind w:left="3894" w:hanging="1440"/>
      </w:pPr>
    </w:lvl>
    <w:lvl w:ilvl="7">
      <w:start w:val="1"/>
      <w:numFmt w:val="decimal"/>
      <w:lvlText w:val="%1.%2.%3.%4.%5.%6.%7.%8"/>
      <w:lvlJc w:val="left"/>
      <w:pPr>
        <w:ind w:left="4603" w:hanging="1800"/>
      </w:pPr>
    </w:lvl>
    <w:lvl w:ilvl="8">
      <w:start w:val="1"/>
      <w:numFmt w:val="decimal"/>
      <w:lvlText w:val="%1.%2.%3.%4.%5.%6.%7.%8.%9"/>
      <w:lvlJc w:val="left"/>
      <w:pPr>
        <w:ind w:left="5312" w:hanging="2160"/>
      </w:pPr>
    </w:lvl>
  </w:abstractNum>
  <w:abstractNum w:abstractNumId="7">
    <w:nsid w:val="703B557C"/>
    <w:multiLevelType w:val="multilevel"/>
    <w:tmpl w:val="7CD69EF6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17CA"/>
    <w:rsid w:val="001157D5"/>
    <w:rsid w:val="002E111C"/>
    <w:rsid w:val="00381649"/>
    <w:rsid w:val="004442DB"/>
    <w:rsid w:val="00482036"/>
    <w:rsid w:val="006717CA"/>
    <w:rsid w:val="0075523F"/>
    <w:rsid w:val="00B477D9"/>
    <w:rsid w:val="00C03468"/>
    <w:rsid w:val="00DE4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82036"/>
  </w:style>
  <w:style w:type="paragraph" w:styleId="10">
    <w:name w:val="heading 1"/>
    <w:link w:val="11"/>
    <w:uiPriority w:val="9"/>
    <w:qFormat/>
    <w:rsid w:val="00482036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rsid w:val="0048203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rsid w:val="00482036"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rsid w:val="0048203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rsid w:val="00482036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82036"/>
  </w:style>
  <w:style w:type="paragraph" w:styleId="21">
    <w:name w:val="toc 2"/>
    <w:link w:val="22"/>
    <w:uiPriority w:val="39"/>
    <w:rsid w:val="00482036"/>
    <w:pPr>
      <w:ind w:left="200"/>
    </w:pPr>
  </w:style>
  <w:style w:type="character" w:customStyle="1" w:styleId="22">
    <w:name w:val="Оглавление 2 Знак"/>
    <w:link w:val="21"/>
    <w:rsid w:val="00482036"/>
  </w:style>
  <w:style w:type="paragraph" w:styleId="a3">
    <w:name w:val="Normal (Web)"/>
    <w:basedOn w:val="a"/>
    <w:link w:val="a4"/>
    <w:rsid w:val="00482036"/>
    <w:rPr>
      <w:rFonts w:ascii="Times New Roman"/>
      <w:sz w:val="24"/>
    </w:rPr>
  </w:style>
  <w:style w:type="character" w:customStyle="1" w:styleId="a4">
    <w:name w:val="Обычный (веб) Знак"/>
    <w:basedOn w:val="1"/>
    <w:link w:val="a3"/>
    <w:rsid w:val="00482036"/>
    <w:rPr>
      <w:rFonts w:ascii="Times New Roman" w:hAnsi="Times New Roman"/>
      <w:sz w:val="24"/>
    </w:rPr>
  </w:style>
  <w:style w:type="paragraph" w:styleId="41">
    <w:name w:val="toc 4"/>
    <w:link w:val="42"/>
    <w:uiPriority w:val="39"/>
    <w:rsid w:val="00482036"/>
    <w:pPr>
      <w:ind w:left="600"/>
    </w:pPr>
  </w:style>
  <w:style w:type="character" w:customStyle="1" w:styleId="42">
    <w:name w:val="Оглавление 4 Знак"/>
    <w:link w:val="41"/>
    <w:rsid w:val="00482036"/>
  </w:style>
  <w:style w:type="paragraph" w:styleId="6">
    <w:name w:val="toc 6"/>
    <w:link w:val="60"/>
    <w:uiPriority w:val="39"/>
    <w:rsid w:val="00482036"/>
    <w:pPr>
      <w:ind w:left="1000"/>
    </w:pPr>
  </w:style>
  <w:style w:type="character" w:customStyle="1" w:styleId="60">
    <w:name w:val="Оглавление 6 Знак"/>
    <w:link w:val="6"/>
    <w:rsid w:val="00482036"/>
  </w:style>
  <w:style w:type="paragraph" w:styleId="7">
    <w:name w:val="toc 7"/>
    <w:link w:val="70"/>
    <w:uiPriority w:val="39"/>
    <w:rsid w:val="00482036"/>
    <w:pPr>
      <w:ind w:left="1200"/>
    </w:pPr>
  </w:style>
  <w:style w:type="character" w:customStyle="1" w:styleId="70">
    <w:name w:val="Оглавление 7 Знак"/>
    <w:link w:val="7"/>
    <w:rsid w:val="00482036"/>
  </w:style>
  <w:style w:type="paragraph" w:customStyle="1" w:styleId="12">
    <w:name w:val="Основной шрифт абзаца1"/>
    <w:link w:val="3"/>
    <w:rsid w:val="00482036"/>
  </w:style>
  <w:style w:type="character" w:customStyle="1" w:styleId="30">
    <w:name w:val="Заголовок 3 Знак"/>
    <w:link w:val="3"/>
    <w:rsid w:val="00482036"/>
    <w:rPr>
      <w:rFonts w:ascii="XO Thames" w:hAnsi="XO Thames"/>
      <w:b/>
      <w:i/>
      <w:color w:val="000000"/>
    </w:rPr>
  </w:style>
  <w:style w:type="paragraph" w:customStyle="1" w:styleId="apple-style-span">
    <w:name w:val="apple-style-span"/>
    <w:basedOn w:val="12"/>
    <w:link w:val="apple-style-span0"/>
    <w:rsid w:val="00482036"/>
  </w:style>
  <w:style w:type="character" w:customStyle="1" w:styleId="apple-style-span0">
    <w:name w:val="apple-style-span"/>
    <w:basedOn w:val="a0"/>
    <w:link w:val="apple-style-span"/>
    <w:rsid w:val="00482036"/>
  </w:style>
  <w:style w:type="paragraph" w:customStyle="1" w:styleId="13">
    <w:name w:val="1Тема"/>
    <w:basedOn w:val="a"/>
    <w:link w:val="14"/>
    <w:rsid w:val="00482036"/>
    <w:pPr>
      <w:spacing w:after="120" w:line="240" w:lineRule="auto"/>
    </w:pPr>
    <w:rPr>
      <w:rFonts w:ascii="Georgia" w:hAnsi="Georgia"/>
      <w:b/>
      <w:sz w:val="24"/>
    </w:rPr>
  </w:style>
  <w:style w:type="character" w:customStyle="1" w:styleId="14">
    <w:name w:val="1Тема"/>
    <w:basedOn w:val="1"/>
    <w:link w:val="13"/>
    <w:rsid w:val="00482036"/>
    <w:rPr>
      <w:rFonts w:ascii="Georgia" w:hAnsi="Georgia"/>
      <w:b/>
      <w:sz w:val="24"/>
    </w:rPr>
  </w:style>
  <w:style w:type="paragraph" w:styleId="a5">
    <w:name w:val="Body Text Indent"/>
    <w:basedOn w:val="a"/>
    <w:link w:val="a6"/>
    <w:rsid w:val="00482036"/>
    <w:pPr>
      <w:spacing w:after="120" w:line="276" w:lineRule="auto"/>
      <w:ind w:left="283"/>
    </w:pPr>
  </w:style>
  <w:style w:type="character" w:customStyle="1" w:styleId="a6">
    <w:name w:val="Основной текст с отступом Знак"/>
    <w:basedOn w:val="1"/>
    <w:link w:val="a5"/>
    <w:rsid w:val="00482036"/>
  </w:style>
  <w:style w:type="paragraph" w:styleId="31">
    <w:name w:val="toc 3"/>
    <w:link w:val="32"/>
    <w:uiPriority w:val="39"/>
    <w:rsid w:val="00482036"/>
    <w:pPr>
      <w:ind w:left="400"/>
    </w:pPr>
  </w:style>
  <w:style w:type="character" w:customStyle="1" w:styleId="32">
    <w:name w:val="Оглавление 3 Знак"/>
    <w:link w:val="31"/>
    <w:rsid w:val="00482036"/>
  </w:style>
  <w:style w:type="paragraph" w:styleId="a7">
    <w:name w:val="List Paragraph"/>
    <w:basedOn w:val="a"/>
    <w:link w:val="a8"/>
    <w:rsid w:val="00482036"/>
    <w:pPr>
      <w:ind w:left="720"/>
      <w:contextualSpacing/>
    </w:pPr>
  </w:style>
  <w:style w:type="character" w:customStyle="1" w:styleId="a8">
    <w:name w:val="Абзац списка Знак"/>
    <w:basedOn w:val="1"/>
    <w:link w:val="a7"/>
    <w:rsid w:val="00482036"/>
  </w:style>
  <w:style w:type="character" w:customStyle="1" w:styleId="50">
    <w:name w:val="Заголовок 5 Знак"/>
    <w:link w:val="5"/>
    <w:rsid w:val="00482036"/>
    <w:rPr>
      <w:rFonts w:ascii="XO Thames" w:hAnsi="XO Thames"/>
      <w:b/>
      <w:color w:val="000000"/>
      <w:sz w:val="22"/>
    </w:rPr>
  </w:style>
  <w:style w:type="paragraph" w:styleId="a9">
    <w:name w:val="Balloon Text"/>
    <w:basedOn w:val="a"/>
    <w:link w:val="aa"/>
    <w:rsid w:val="00482036"/>
    <w:pPr>
      <w:spacing w:after="0" w:line="240" w:lineRule="auto"/>
    </w:pPr>
    <w:rPr>
      <w:rFonts w:ascii="Segoe UI" w:hAnsi="Segoe UI"/>
      <w:sz w:val="18"/>
    </w:rPr>
  </w:style>
  <w:style w:type="character" w:customStyle="1" w:styleId="aa">
    <w:name w:val="Текст выноски Знак"/>
    <w:basedOn w:val="1"/>
    <w:link w:val="a9"/>
    <w:rsid w:val="00482036"/>
    <w:rPr>
      <w:rFonts w:ascii="Segoe UI" w:hAnsi="Segoe UI"/>
      <w:sz w:val="18"/>
    </w:rPr>
  </w:style>
  <w:style w:type="character" w:customStyle="1" w:styleId="11">
    <w:name w:val="Заголовок 1 Знак"/>
    <w:link w:val="10"/>
    <w:rsid w:val="00482036"/>
    <w:rPr>
      <w:rFonts w:ascii="XO Thames" w:hAnsi="XO Thames"/>
      <w:b/>
      <w:sz w:val="32"/>
    </w:rPr>
  </w:style>
  <w:style w:type="paragraph" w:customStyle="1" w:styleId="0">
    <w:name w:val="0Абзац"/>
    <w:basedOn w:val="a3"/>
    <w:link w:val="00"/>
    <w:rsid w:val="00482036"/>
    <w:pPr>
      <w:spacing w:after="120" w:line="240" w:lineRule="auto"/>
      <w:ind w:firstLine="709"/>
      <w:jc w:val="both"/>
    </w:pPr>
    <w:rPr>
      <w:sz w:val="28"/>
    </w:rPr>
  </w:style>
  <w:style w:type="character" w:customStyle="1" w:styleId="00">
    <w:name w:val="0Абзац"/>
    <w:basedOn w:val="a4"/>
    <w:link w:val="0"/>
    <w:rsid w:val="00482036"/>
    <w:rPr>
      <w:rFonts w:ascii="Times New Roman" w:hAnsi="Times New Roman"/>
      <w:color w:val="000000"/>
      <w:sz w:val="28"/>
    </w:rPr>
  </w:style>
  <w:style w:type="paragraph" w:customStyle="1" w:styleId="33">
    <w:name w:val="Основной текст (3)"/>
    <w:link w:val="34"/>
    <w:rsid w:val="00482036"/>
    <w:pPr>
      <w:widowControl w:val="0"/>
      <w:spacing w:before="60" w:after="1020" w:line="20" w:lineRule="atLeast"/>
      <w:jc w:val="right"/>
    </w:pPr>
    <w:rPr>
      <w:rFonts w:ascii="Times New Roman"/>
      <w:i/>
      <w:sz w:val="31"/>
      <w:u w:color="000000"/>
    </w:rPr>
  </w:style>
  <w:style w:type="character" w:customStyle="1" w:styleId="34">
    <w:name w:val="Основной текст (3)"/>
    <w:link w:val="33"/>
    <w:rsid w:val="00482036"/>
    <w:rPr>
      <w:rFonts w:ascii="Times New Roman" w:hAnsi="Times New Roman"/>
      <w:i/>
      <w:color w:val="000000"/>
      <w:sz w:val="31"/>
      <w:u w:color="000000"/>
    </w:rPr>
  </w:style>
  <w:style w:type="paragraph" w:customStyle="1" w:styleId="15">
    <w:name w:val="Гиперссылка1"/>
    <w:link w:val="ab"/>
    <w:rsid w:val="00482036"/>
    <w:rPr>
      <w:color w:val="0000FF"/>
      <w:u w:val="single"/>
    </w:rPr>
  </w:style>
  <w:style w:type="character" w:styleId="ab">
    <w:name w:val="Hyperlink"/>
    <w:link w:val="15"/>
    <w:rsid w:val="0048203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482036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sid w:val="00482036"/>
    <w:rPr>
      <w:sz w:val="20"/>
    </w:rPr>
  </w:style>
  <w:style w:type="paragraph" w:styleId="16">
    <w:name w:val="toc 1"/>
    <w:link w:val="17"/>
    <w:uiPriority w:val="39"/>
    <w:rsid w:val="00482036"/>
    <w:rPr>
      <w:rFonts w:ascii="XO Thames" w:hAnsi="XO Thames"/>
      <w:b/>
    </w:rPr>
  </w:style>
  <w:style w:type="character" w:customStyle="1" w:styleId="17">
    <w:name w:val="Оглавление 1 Знак"/>
    <w:link w:val="16"/>
    <w:rsid w:val="0048203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482036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482036"/>
    <w:rPr>
      <w:rFonts w:ascii="XO Thames" w:hAnsi="XO Thames"/>
      <w:sz w:val="20"/>
    </w:rPr>
  </w:style>
  <w:style w:type="paragraph" w:styleId="9">
    <w:name w:val="toc 9"/>
    <w:link w:val="90"/>
    <w:uiPriority w:val="39"/>
    <w:rsid w:val="00482036"/>
    <w:pPr>
      <w:ind w:left="1600"/>
    </w:pPr>
  </w:style>
  <w:style w:type="character" w:customStyle="1" w:styleId="90">
    <w:name w:val="Оглавление 9 Знак"/>
    <w:link w:val="9"/>
    <w:rsid w:val="00482036"/>
  </w:style>
  <w:style w:type="paragraph" w:customStyle="1" w:styleId="18">
    <w:name w:val="Обычный (веб)1"/>
    <w:basedOn w:val="a"/>
    <w:link w:val="19"/>
    <w:rsid w:val="00482036"/>
    <w:pPr>
      <w:spacing w:before="100" w:after="100" w:line="240" w:lineRule="auto"/>
    </w:pPr>
    <w:rPr>
      <w:rFonts w:ascii="Arial Unicode MS" w:hAnsi="Arial Unicode MS"/>
      <w:sz w:val="24"/>
    </w:rPr>
  </w:style>
  <w:style w:type="character" w:customStyle="1" w:styleId="19">
    <w:name w:val="Обычный (веб)1"/>
    <w:basedOn w:val="1"/>
    <w:link w:val="18"/>
    <w:rsid w:val="00482036"/>
    <w:rPr>
      <w:rFonts w:ascii="Arial Unicode MS" w:hAnsi="Arial Unicode MS"/>
      <w:sz w:val="24"/>
    </w:rPr>
  </w:style>
  <w:style w:type="paragraph" w:styleId="8">
    <w:name w:val="toc 8"/>
    <w:link w:val="80"/>
    <w:uiPriority w:val="39"/>
    <w:rsid w:val="00482036"/>
    <w:pPr>
      <w:ind w:left="1400"/>
    </w:pPr>
  </w:style>
  <w:style w:type="character" w:customStyle="1" w:styleId="80">
    <w:name w:val="Оглавление 8 Знак"/>
    <w:link w:val="8"/>
    <w:rsid w:val="00482036"/>
  </w:style>
  <w:style w:type="paragraph" w:styleId="ac">
    <w:name w:val="header"/>
    <w:basedOn w:val="a"/>
    <w:link w:val="ad"/>
    <w:rsid w:val="00482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1"/>
    <w:link w:val="ac"/>
    <w:rsid w:val="00482036"/>
  </w:style>
  <w:style w:type="paragraph" w:customStyle="1" w:styleId="apple-converted-space">
    <w:name w:val="apple-converted-space"/>
    <w:link w:val="apple-converted-space0"/>
    <w:rsid w:val="00482036"/>
  </w:style>
  <w:style w:type="character" w:customStyle="1" w:styleId="apple-converted-space0">
    <w:name w:val="apple-converted-space"/>
    <w:link w:val="apple-converted-space"/>
    <w:rsid w:val="00482036"/>
  </w:style>
  <w:style w:type="paragraph" w:styleId="ae">
    <w:name w:val="Body Text"/>
    <w:basedOn w:val="a"/>
    <w:link w:val="af"/>
    <w:rsid w:val="00482036"/>
    <w:pPr>
      <w:spacing w:after="120" w:line="240" w:lineRule="auto"/>
    </w:pPr>
    <w:rPr>
      <w:rFonts w:ascii="Times New Roman"/>
      <w:sz w:val="24"/>
    </w:rPr>
  </w:style>
  <w:style w:type="character" w:customStyle="1" w:styleId="af">
    <w:name w:val="Основной текст Знак"/>
    <w:basedOn w:val="1"/>
    <w:link w:val="ae"/>
    <w:rsid w:val="00482036"/>
    <w:rPr>
      <w:rFonts w:ascii="Times New Roman" w:hAnsi="Times New Roman"/>
      <w:sz w:val="24"/>
    </w:rPr>
  </w:style>
  <w:style w:type="paragraph" w:styleId="51">
    <w:name w:val="toc 5"/>
    <w:link w:val="52"/>
    <w:uiPriority w:val="39"/>
    <w:rsid w:val="00482036"/>
    <w:pPr>
      <w:ind w:left="800"/>
    </w:pPr>
  </w:style>
  <w:style w:type="character" w:customStyle="1" w:styleId="52">
    <w:name w:val="Оглавление 5 Знак"/>
    <w:link w:val="51"/>
    <w:rsid w:val="00482036"/>
  </w:style>
  <w:style w:type="paragraph" w:styleId="af0">
    <w:name w:val="footer"/>
    <w:basedOn w:val="a"/>
    <w:link w:val="af1"/>
    <w:rsid w:val="00482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1"/>
    <w:link w:val="af0"/>
    <w:rsid w:val="00482036"/>
  </w:style>
  <w:style w:type="paragraph" w:customStyle="1" w:styleId="1a">
    <w:name w:val="Знак сноски1"/>
    <w:basedOn w:val="12"/>
    <w:link w:val="af2"/>
    <w:rsid w:val="00482036"/>
    <w:rPr>
      <w:vertAlign w:val="superscript"/>
    </w:rPr>
  </w:style>
  <w:style w:type="character" w:styleId="af2">
    <w:name w:val="footnote reference"/>
    <w:basedOn w:val="a0"/>
    <w:link w:val="1a"/>
    <w:rsid w:val="00482036"/>
    <w:rPr>
      <w:vertAlign w:val="superscript"/>
    </w:rPr>
  </w:style>
  <w:style w:type="paragraph" w:styleId="af3">
    <w:name w:val="Subtitle"/>
    <w:link w:val="af4"/>
    <w:uiPriority w:val="11"/>
    <w:qFormat/>
    <w:rsid w:val="00482036"/>
    <w:rPr>
      <w:rFonts w:ascii="XO Thames" w:hAnsi="XO Thames"/>
      <w:i/>
      <w:color w:val="616161"/>
      <w:sz w:val="24"/>
    </w:rPr>
  </w:style>
  <w:style w:type="character" w:customStyle="1" w:styleId="af4">
    <w:name w:val="Подзаголовок Знак"/>
    <w:link w:val="af3"/>
    <w:rsid w:val="00482036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rsid w:val="00482036"/>
    <w:pPr>
      <w:ind w:left="1800"/>
    </w:pPr>
  </w:style>
  <w:style w:type="character" w:customStyle="1" w:styleId="toc100">
    <w:name w:val="toc 10"/>
    <w:link w:val="toc10"/>
    <w:rsid w:val="00482036"/>
  </w:style>
  <w:style w:type="paragraph" w:styleId="af5">
    <w:name w:val="Title"/>
    <w:link w:val="af6"/>
    <w:uiPriority w:val="10"/>
    <w:qFormat/>
    <w:rsid w:val="00482036"/>
    <w:rPr>
      <w:rFonts w:ascii="XO Thames" w:hAnsi="XO Thames"/>
      <w:b/>
      <w:sz w:val="52"/>
    </w:rPr>
  </w:style>
  <w:style w:type="character" w:customStyle="1" w:styleId="af6">
    <w:name w:val="Название Знак"/>
    <w:link w:val="af5"/>
    <w:rsid w:val="0048203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482036"/>
    <w:rPr>
      <w:rFonts w:ascii="XO Thames" w:hAnsi="XO Thames"/>
      <w:b/>
      <w:color w:val="595959"/>
      <w:sz w:val="26"/>
    </w:rPr>
  </w:style>
  <w:style w:type="paragraph" w:customStyle="1" w:styleId="Default">
    <w:name w:val="Default"/>
    <w:link w:val="Default0"/>
    <w:rsid w:val="00482036"/>
    <w:pPr>
      <w:spacing w:after="0" w:line="240" w:lineRule="auto"/>
    </w:pPr>
    <w:rPr>
      <w:rFonts w:ascii="Arial" w:hAnsi="Arial"/>
      <w:sz w:val="24"/>
    </w:rPr>
  </w:style>
  <w:style w:type="character" w:customStyle="1" w:styleId="Default0">
    <w:name w:val="Default"/>
    <w:link w:val="Default"/>
    <w:rsid w:val="00482036"/>
    <w:rPr>
      <w:rFonts w:ascii="Arial" w:hAnsi="Arial"/>
      <w:color w:val="000000"/>
      <w:sz w:val="24"/>
    </w:rPr>
  </w:style>
  <w:style w:type="character" w:customStyle="1" w:styleId="20">
    <w:name w:val="Заголовок 2 Знак"/>
    <w:link w:val="2"/>
    <w:rsid w:val="00482036"/>
    <w:rPr>
      <w:rFonts w:ascii="XO Thames" w:hAnsi="XO Thames"/>
      <w:b/>
      <w:color w:val="00A0FF"/>
      <w:sz w:val="26"/>
    </w:rPr>
  </w:style>
  <w:style w:type="paragraph" w:customStyle="1" w:styleId="Style1">
    <w:name w:val="Style1"/>
    <w:basedOn w:val="a"/>
    <w:link w:val="Style10"/>
    <w:rsid w:val="00482036"/>
    <w:pPr>
      <w:widowControl w:val="0"/>
      <w:spacing w:after="0" w:line="298" w:lineRule="exact"/>
      <w:ind w:firstLine="706"/>
      <w:jc w:val="both"/>
    </w:pPr>
    <w:rPr>
      <w:rFonts w:ascii="Times New Roman"/>
      <w:sz w:val="24"/>
    </w:rPr>
  </w:style>
  <w:style w:type="character" w:customStyle="1" w:styleId="Style10">
    <w:name w:val="Style1"/>
    <w:basedOn w:val="1"/>
    <w:link w:val="Style1"/>
    <w:rsid w:val="00482036"/>
    <w:rPr>
      <w:rFonts w:ascii="Times New Roman" w:hAnsi="Times New Roman"/>
      <w:sz w:val="24"/>
    </w:rPr>
  </w:style>
  <w:style w:type="table" w:styleId="af7">
    <w:name w:val="Table Grid"/>
    <w:basedOn w:val="a1"/>
    <w:rsid w:val="0048203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2816</Words>
  <Characters>16055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Варфоломеева Людмила Николаевна</dc:creator>
  <cp:lastModifiedBy>Varfolomeevaln</cp:lastModifiedBy>
  <cp:revision>5</cp:revision>
  <cp:lastPrinted>2019-02-28T17:57:00Z</cp:lastPrinted>
  <dcterms:created xsi:type="dcterms:W3CDTF">2019-02-28T17:57:00Z</dcterms:created>
  <dcterms:modified xsi:type="dcterms:W3CDTF">2019-02-28T18:06:00Z</dcterms:modified>
</cp:coreProperties>
</file>